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54633" w14:textId="48B3E1C9" w:rsidR="002F48E5" w:rsidRPr="00285C4A" w:rsidRDefault="00A70AE1" w:rsidP="00A70AE1">
      <w:pPr>
        <w:pStyle w:val="TwebOtsikko"/>
        <w:rPr>
          <w:rFonts w:ascii="Calibri" w:hAnsi="Calibri"/>
          <w:sz w:val="24"/>
          <w:szCs w:val="24"/>
        </w:rPr>
      </w:pPr>
      <w:r w:rsidRPr="00285C4A">
        <w:rPr>
          <w:rFonts w:ascii="Calibri" w:hAnsi="Calibri"/>
          <w:sz w:val="24"/>
          <w:szCs w:val="24"/>
        </w:rPr>
        <w:tab/>
      </w:r>
      <w:r w:rsidR="00A4383B" w:rsidRPr="00285C4A">
        <w:rPr>
          <w:rFonts w:ascii="Calibri" w:hAnsi="Calibri"/>
          <w:sz w:val="24"/>
          <w:szCs w:val="24"/>
        </w:rPr>
        <w:fldChar w:fldCharType="begin"/>
      </w:r>
      <w:r w:rsidR="00A4383B" w:rsidRPr="00285C4A">
        <w:rPr>
          <w:rFonts w:ascii="Calibri" w:hAnsi="Calibri"/>
          <w:sz w:val="24"/>
          <w:szCs w:val="24"/>
        </w:rPr>
        <w:instrText xml:space="preserve"> DOCPROPERTY  tweb_doc_title  \* MERGEFORMAT </w:instrText>
      </w:r>
      <w:r w:rsidR="00A4383B" w:rsidRPr="00285C4A">
        <w:rPr>
          <w:rFonts w:ascii="Calibri" w:hAnsi="Calibri"/>
          <w:sz w:val="24"/>
          <w:szCs w:val="24"/>
        </w:rPr>
        <w:fldChar w:fldCharType="separate"/>
      </w:r>
      <w:r w:rsidR="00F521AF">
        <w:rPr>
          <w:rFonts w:ascii="Calibri" w:hAnsi="Calibri"/>
          <w:sz w:val="24"/>
          <w:szCs w:val="24"/>
        </w:rPr>
        <w:t>Vantaan palveluiden ja investointien suunnitelma 2026–2035</w:t>
      </w:r>
      <w:r w:rsidR="00A4383B" w:rsidRPr="00285C4A">
        <w:rPr>
          <w:rFonts w:ascii="Calibri" w:hAnsi="Calibri"/>
          <w:sz w:val="24"/>
          <w:szCs w:val="24"/>
        </w:rPr>
        <w:fldChar w:fldCharType="end"/>
      </w:r>
    </w:p>
    <w:p w14:paraId="3AA30911" w14:textId="77777777" w:rsidR="00F77EB9" w:rsidRPr="00285C4A" w:rsidRDefault="00F77EB9" w:rsidP="00F77EB9">
      <w:pPr>
        <w:pStyle w:val="TwebAsiateksti1"/>
        <w:rPr>
          <w:rFonts w:ascii="Calibri" w:hAnsi="Calibri"/>
          <w:sz w:val="24"/>
          <w:szCs w:val="24"/>
        </w:rPr>
      </w:pPr>
    </w:p>
    <w:p w14:paraId="1B9F924B" w14:textId="636FA900" w:rsidR="00002686" w:rsidRPr="00285C4A" w:rsidRDefault="008956C8" w:rsidP="00002686">
      <w:pPr>
        <w:pStyle w:val="TwebAsiateksti1"/>
        <w:rPr>
          <w:rFonts w:ascii="Calibri" w:hAnsi="Calibri"/>
          <w:sz w:val="24"/>
          <w:szCs w:val="24"/>
        </w:rPr>
      </w:pPr>
      <w:r w:rsidRPr="00285C4A">
        <w:rPr>
          <w:rFonts w:ascii="Calibri" w:hAnsi="Calibri"/>
          <w:sz w:val="24"/>
          <w:szCs w:val="24"/>
        </w:rPr>
        <w:fldChar w:fldCharType="begin"/>
      </w:r>
      <w:r w:rsidRPr="00285C4A">
        <w:rPr>
          <w:rFonts w:ascii="Calibri" w:hAnsi="Calibri"/>
          <w:sz w:val="24"/>
          <w:szCs w:val="24"/>
        </w:rPr>
        <w:instrText xml:space="preserve"> DOCPROPERTY  tweb_doc_identifier  \* MERGEFORMAT </w:instrText>
      </w:r>
      <w:r w:rsidRPr="00285C4A">
        <w:rPr>
          <w:rFonts w:ascii="Calibri" w:hAnsi="Calibri"/>
          <w:sz w:val="24"/>
          <w:szCs w:val="24"/>
        </w:rPr>
        <w:fldChar w:fldCharType="separate"/>
      </w:r>
      <w:r w:rsidR="00F521AF">
        <w:rPr>
          <w:rFonts w:ascii="Calibri" w:hAnsi="Calibri"/>
          <w:sz w:val="24"/>
          <w:szCs w:val="24"/>
        </w:rPr>
        <w:t>VD/2836/00.01.02.00/2026</w:t>
      </w:r>
      <w:r w:rsidRPr="00285C4A">
        <w:rPr>
          <w:rFonts w:ascii="Calibri" w:hAnsi="Calibri"/>
          <w:sz w:val="24"/>
          <w:szCs w:val="24"/>
        </w:rPr>
        <w:fldChar w:fldCharType="end"/>
      </w:r>
    </w:p>
    <w:p w14:paraId="53BBF4CD" w14:textId="77777777" w:rsidR="0024342E" w:rsidRPr="00285C4A" w:rsidRDefault="0024342E" w:rsidP="00002686">
      <w:pPr>
        <w:pStyle w:val="TwebAsiateksti1"/>
        <w:rPr>
          <w:rFonts w:ascii="Calibri" w:hAnsi="Calibri"/>
          <w:sz w:val="24"/>
          <w:szCs w:val="24"/>
        </w:rPr>
      </w:pPr>
    </w:p>
    <w:p w14:paraId="6CAB4718" w14:textId="5A8C596F" w:rsidR="00313383" w:rsidRPr="00285C4A" w:rsidRDefault="00621573" w:rsidP="00285C4A">
      <w:r>
        <w:t>NJ</w:t>
      </w:r>
    </w:p>
    <w:p w14:paraId="01D34FC5" w14:textId="77777777" w:rsidR="00313383" w:rsidRPr="00285C4A" w:rsidRDefault="00313383" w:rsidP="00285C4A"/>
    <w:p w14:paraId="694699DF" w14:textId="1EDBD59D" w:rsidR="00621573" w:rsidRDefault="00621573" w:rsidP="00621573">
      <w:r w:rsidRPr="00DC50A2">
        <w:t xml:space="preserve">Strategian mukaisesti luomme ja vakiinnutamme investointeihin mallin, jolla ohjaamme ennakoivasti kaupungin kasvua, suunnittelua ja uutta rakentamista. Vantaan </w:t>
      </w:r>
      <w:r w:rsidR="0085631B">
        <w:t xml:space="preserve">kaupungin </w:t>
      </w:r>
      <w:r w:rsidRPr="00DC50A2">
        <w:t>palveluiden ja investointien suunnitelma</w:t>
      </w:r>
      <w:r w:rsidR="00367B10">
        <w:t xml:space="preserve"> </w:t>
      </w:r>
      <w:r w:rsidRPr="00DC50A2">
        <w:t>on uuden mallin keskeinen elementti.</w:t>
      </w:r>
      <w:r w:rsidRPr="00922EA9">
        <w:t xml:space="preserve"> </w:t>
      </w:r>
      <w:r w:rsidRPr="00DC50A2">
        <w:t xml:space="preserve">Vantaan </w:t>
      </w:r>
      <w:r w:rsidR="0085631B">
        <w:t xml:space="preserve">kaupungin </w:t>
      </w:r>
      <w:r w:rsidRPr="00DC50A2">
        <w:t xml:space="preserve">palveluiden ja investointien suunnitelma on kaupunkitasoinen talouden raameihin sovitettu strateginen tulevaisuuskuva ja suunnitelma suuralueiden kehittymisestä seuraavan 10 vuoden aikana. </w:t>
      </w:r>
      <w:r>
        <w:t xml:space="preserve">Suunnitelma sisältää suuraluekohtaiset kehittämissuunnitelmat. </w:t>
      </w:r>
    </w:p>
    <w:p w14:paraId="767C5B4C" w14:textId="77777777" w:rsidR="00621573" w:rsidRPr="00DC50A2" w:rsidRDefault="00621573" w:rsidP="00621573">
      <w:pPr>
        <w:rPr>
          <w:color w:val="FF0000"/>
        </w:rPr>
      </w:pPr>
    </w:p>
    <w:p w14:paraId="5489ECF5" w14:textId="2B55E690" w:rsidR="00621573" w:rsidRDefault="00621573" w:rsidP="00621573">
      <w:r w:rsidRPr="00DC50A2">
        <w:t xml:space="preserve">Vantaan </w:t>
      </w:r>
      <w:r w:rsidR="0085631B">
        <w:t xml:space="preserve">kaupungin </w:t>
      </w:r>
      <w:r w:rsidRPr="00DC50A2">
        <w:t>palveluiden ja investointien suunnitelma sisältää jatkossa kaupunkitasoisen palveluverkkosuunnitelman sisällöt: palveluiden järjestämisen tavoitteet ja linjaukset sekä palveluiden järjestämisen kehittämistarpeet</w:t>
      </w:r>
      <w:r>
        <w:t xml:space="preserve"> eikä erillistä palveluverkkosuunnitelmaa laadita</w:t>
      </w:r>
      <w:r w:rsidRPr="00DC50A2">
        <w:t>.</w:t>
      </w:r>
      <w:r>
        <w:t xml:space="preserve"> </w:t>
      </w:r>
    </w:p>
    <w:p w14:paraId="4F02167F" w14:textId="77777777" w:rsidR="00621573" w:rsidRDefault="00621573" w:rsidP="00621573"/>
    <w:p w14:paraId="4A5450E4" w14:textId="2FA1BC22" w:rsidR="00621573" w:rsidRDefault="00621573" w:rsidP="00621573">
      <w:r w:rsidRPr="00DC50A2">
        <w:t xml:space="preserve">Vantaan </w:t>
      </w:r>
      <w:r w:rsidR="0085631B">
        <w:t xml:space="preserve">kaupungin </w:t>
      </w:r>
      <w:r w:rsidRPr="00DC50A2">
        <w:t xml:space="preserve">palveluiden ja investointien suunnitelma ohjaa aiemman kaupunkitasoisen palveluverkkosuunnitelman mukaisesti </w:t>
      </w:r>
      <w:r>
        <w:t xml:space="preserve">kaupunkitasoista palveluverkon suunnittelua sekä </w:t>
      </w:r>
      <w:r w:rsidRPr="00DC50A2">
        <w:t>vuotuista talousarvioprosessiin kuuluvaa toimitilainvestointiohjelman päivittämistä.</w:t>
      </w:r>
      <w:r>
        <w:t xml:space="preserve"> </w:t>
      </w:r>
    </w:p>
    <w:p w14:paraId="2F3C1DEA" w14:textId="77777777" w:rsidR="00621573" w:rsidRDefault="00621573" w:rsidP="00621573"/>
    <w:p w14:paraId="1FB00529" w14:textId="77777777" w:rsidR="00621573" w:rsidRDefault="00621573" w:rsidP="00621573">
      <w:r>
        <w:t>Muutos palveluverkkosuunnitelmasta laajemmaksi investointien ja palveluiden suunnitelmaksi tarkoittaa, että tunnistamme paremmin hankkeet kokonaisuuksina sisältäen kaavoituksen sekä infra- ja toimitilainvestoinnit. Suunnitelma on informatiivisempi näkymä alueiden kehittymiseen ja se on laadittu taloudelliset reunaehdot huomioiden. Suuraluekohtainen tarkastelu mahdollistaa alueellisten erityispiirteiden ja -tarpeiden huomioimisen.</w:t>
      </w:r>
    </w:p>
    <w:p w14:paraId="3140D0C6" w14:textId="77777777" w:rsidR="00621573" w:rsidRDefault="00621573" w:rsidP="00621573"/>
    <w:p w14:paraId="3EC2B090" w14:textId="604063C9" w:rsidR="00621573" w:rsidRDefault="00367B10" w:rsidP="00621573">
      <w:pPr>
        <w:rPr>
          <w:b/>
          <w:bCs/>
        </w:rPr>
      </w:pPr>
      <w:r>
        <w:rPr>
          <w:b/>
          <w:bCs/>
        </w:rPr>
        <w:t>Palveluverkon linjaukset</w:t>
      </w:r>
    </w:p>
    <w:p w14:paraId="4DFC66C5" w14:textId="77777777" w:rsidR="00621573" w:rsidRDefault="00621573" w:rsidP="00621573">
      <w:r>
        <w:t>Kaupunkitasoiset palveluiden järjestämisen tavoitteet, yleiset periaatteet ja linjaukset ohjaavat palveluverkkosuunnittelua. Kaupunkitasoisia linjauksia täydentää toimialojen omat tavoitteet palveluiden järjestämiseen. Linjauksien lisäksi k</w:t>
      </w:r>
      <w:r w:rsidRPr="0089654A">
        <w:t>aupungin tuottam</w:t>
      </w:r>
      <w:r>
        <w:t>ille palveluille</w:t>
      </w:r>
      <w:r w:rsidRPr="0089654A">
        <w:t xml:space="preserve"> </w:t>
      </w:r>
      <w:r>
        <w:t xml:space="preserve">on määritelty </w:t>
      </w:r>
      <w:r w:rsidRPr="0089654A">
        <w:t>tavoitetason mukais</w:t>
      </w:r>
      <w:r>
        <w:t xml:space="preserve">et </w:t>
      </w:r>
      <w:r w:rsidRPr="0089654A">
        <w:t>palveluiden järjestämisen vyöhykke</w:t>
      </w:r>
      <w:r>
        <w:t>et.</w:t>
      </w:r>
    </w:p>
    <w:p w14:paraId="7EC5589F" w14:textId="77777777" w:rsidR="00621573" w:rsidRPr="0089654A" w:rsidRDefault="00621573" w:rsidP="00621573"/>
    <w:p w14:paraId="66FF60F7" w14:textId="77777777" w:rsidR="00621573" w:rsidRPr="0089654A" w:rsidRDefault="00621573" w:rsidP="00621573">
      <w:r w:rsidRPr="0089654A">
        <w:t xml:space="preserve">Vyöhykkeet kuvaavat mitkä palvelut on tarkoitus järjestää </w:t>
      </w:r>
    </w:p>
    <w:p w14:paraId="6E37D5EB" w14:textId="77777777" w:rsidR="00621573" w:rsidRPr="0089654A" w:rsidRDefault="00621573" w:rsidP="00621573">
      <w:pPr>
        <w:numPr>
          <w:ilvl w:val="0"/>
          <w:numId w:val="26"/>
        </w:numPr>
        <w:spacing w:after="160" w:line="278" w:lineRule="auto"/>
      </w:pPr>
      <w:r w:rsidRPr="0089654A">
        <w:t>Lähipalveluina</w:t>
      </w:r>
    </w:p>
    <w:p w14:paraId="6F1691AD" w14:textId="77777777" w:rsidR="00621573" w:rsidRPr="0089654A" w:rsidRDefault="00621573" w:rsidP="00621573">
      <w:pPr>
        <w:numPr>
          <w:ilvl w:val="0"/>
          <w:numId w:val="26"/>
        </w:numPr>
        <w:spacing w:after="160" w:line="278" w:lineRule="auto"/>
      </w:pPr>
      <w:r w:rsidRPr="0089654A">
        <w:t>Suuraluetasoisina palveluina</w:t>
      </w:r>
    </w:p>
    <w:p w14:paraId="4FDF9D0C" w14:textId="77777777" w:rsidR="00621573" w:rsidRPr="0089654A" w:rsidRDefault="00621573" w:rsidP="00621573">
      <w:pPr>
        <w:numPr>
          <w:ilvl w:val="0"/>
          <w:numId w:val="26"/>
        </w:numPr>
        <w:spacing w:after="160" w:line="278" w:lineRule="auto"/>
      </w:pPr>
      <w:r w:rsidRPr="0089654A">
        <w:t>Kaupunkitasoisina palveluina</w:t>
      </w:r>
    </w:p>
    <w:p w14:paraId="66D29B56" w14:textId="7689FB3B" w:rsidR="00367B10" w:rsidRDefault="00621573" w:rsidP="00EB167A">
      <w:pPr>
        <w:numPr>
          <w:ilvl w:val="0"/>
          <w:numId w:val="26"/>
        </w:numPr>
        <w:spacing w:after="160" w:line="278" w:lineRule="auto"/>
      </w:pPr>
      <w:r w:rsidRPr="0089654A">
        <w:t>ja seudullisina ja valtakunnallisina palveluina</w:t>
      </w:r>
    </w:p>
    <w:p w14:paraId="04AA9330" w14:textId="77777777" w:rsidR="00367B10" w:rsidRDefault="00367B10" w:rsidP="00367B10"/>
    <w:p w14:paraId="42699ABC" w14:textId="77777777" w:rsidR="00367B10" w:rsidRPr="00367B10" w:rsidRDefault="00367B10" w:rsidP="00367B10">
      <w:pPr>
        <w:rPr>
          <w:b/>
          <w:bCs/>
        </w:rPr>
      </w:pPr>
      <w:r w:rsidRPr="00367B10">
        <w:rPr>
          <w:b/>
          <w:bCs/>
        </w:rPr>
        <w:t xml:space="preserve">Asukkaiden osallistuminen ja päätöksenteko </w:t>
      </w:r>
    </w:p>
    <w:p w14:paraId="167AA790" w14:textId="77777777" w:rsidR="00EB167A" w:rsidRDefault="00367B10" w:rsidP="00EB167A">
      <w:r w:rsidRPr="003E0DE2">
        <w:t>15.1.-13.2.2026 järjestettiin jokaisella Vantaan suuralueella Voxit-keskustelu.</w:t>
      </w:r>
      <w:r w:rsidR="00EB167A">
        <w:t xml:space="preserve"> Voxit (aiemmalta nimeltään Polis) on verkossa toimiva keskustelualusta, joka mahdollistaa rakentavan keskustelun ja parantaa asukkaiden mahdollisuuksia osallistua kaupungin päätöksentekoon. Aiheisiin liittyen Voxitissa esitetään erilaisia väittämiä, joista vastaaja voi olla joko samaa mieltä, eri mieltä tai ohittaa väittämän. Vastaaja voi lisätä mukaan myös omia väittämiä, jotka julkaistaan tarkistuksen jälkeen. Voxit toimii täysin anonyymisti, eli palveluun ei kirjauduta eikä väittämiin annettuja vastauksia tai vastaajien lisäämiä väittämiä voi </w:t>
      </w:r>
      <w:r w:rsidR="00EB167A">
        <w:lastRenderedPageBreak/>
        <w:t>yhdistää vastaajiin. Vantaan Voxit-keskustelujen pohjana ovat kaupungin laatimat aloitusväittämät, joita täydentää vastaajien lisäämät väittämät.</w:t>
      </w:r>
    </w:p>
    <w:p w14:paraId="65F9A914" w14:textId="77777777" w:rsidR="00EB167A" w:rsidRDefault="00EB167A" w:rsidP="00EB167A"/>
    <w:p w14:paraId="1250BEB1" w14:textId="2B5B4453" w:rsidR="00367B10" w:rsidRDefault="00EB167A" w:rsidP="00EB167A">
      <w:r>
        <w:t>Suuraluekohtaisten k</w:t>
      </w:r>
      <w:r w:rsidR="00367B10" w:rsidRPr="003E0DE2">
        <w:t xml:space="preserve">eskusteluiden aiheina oli lähivuosien kehitys alueilla. Mitä alueella on hyvää ja säilytettävää? Mitä pitäisi kehittää tai uudistaa? Minkälaisia palveluita alueella tarvitaan? </w:t>
      </w:r>
      <w:r w:rsidR="00367B10">
        <w:t xml:space="preserve">Keskusteluihin osallistui yhteensä 3 469 henkilöä ja ääniä annettiin yhteensä 258 486 kappaletta. Osallistujat lisäsivät yhteensä 1624 väittämää. </w:t>
      </w:r>
      <w:r w:rsidR="00367B10" w:rsidRPr="003E0DE2">
        <w:t xml:space="preserve">Keskusteluiden materiaalia hyödynnetään </w:t>
      </w:r>
      <w:r>
        <w:t>V</w:t>
      </w:r>
      <w:r w:rsidR="00367B10" w:rsidRPr="003E0DE2">
        <w:t xml:space="preserve">antaan </w:t>
      </w:r>
      <w:r w:rsidR="0085631B">
        <w:t xml:space="preserve">kaupungin </w:t>
      </w:r>
      <w:r w:rsidR="00367B10" w:rsidRPr="003E0DE2">
        <w:t xml:space="preserve">palveluiden ja investointien suunnitelman valmisteluun. </w:t>
      </w:r>
    </w:p>
    <w:p w14:paraId="435CF6A8" w14:textId="77777777" w:rsidR="00EB167A" w:rsidRDefault="00EB167A" w:rsidP="00EB167A"/>
    <w:p w14:paraId="3EB03D28" w14:textId="5D805174" w:rsidR="00367B10" w:rsidRDefault="00367B10" w:rsidP="00367B10">
      <w:r>
        <w:t xml:space="preserve">Tavoitteena oli saada osallistujiksi enemmän myös vieraskielisiä vantaalaisia ja sitä varten tehtiin yhteistyötä järjestöjen kanssa. Järjestöt pitivät omalle verkostolle tilaisuuden ja viestivät osallistumismahdollisuudesta eri kielillä. Järjestöt auttoivat myös vieraskielisten väitteiden tarkistamisessa. Yhteistyössä olivat mukana </w:t>
      </w:r>
      <w:r w:rsidRPr="00690294">
        <w:t>Nicehearts ry</w:t>
      </w:r>
      <w:r>
        <w:t xml:space="preserve">, </w:t>
      </w:r>
      <w:r w:rsidRPr="00690294">
        <w:t>Autokton ry</w:t>
      </w:r>
      <w:r>
        <w:t xml:space="preserve">, </w:t>
      </w:r>
      <w:r w:rsidRPr="00690294">
        <w:t>Vantaan venäläinen</w:t>
      </w:r>
      <w:r>
        <w:t xml:space="preserve"> </w:t>
      </w:r>
      <w:r w:rsidRPr="00690294">
        <w:t>klubi</w:t>
      </w:r>
      <w:r>
        <w:t xml:space="preserve">, </w:t>
      </w:r>
      <w:r w:rsidRPr="00690294">
        <w:t>DreamChasers ry</w:t>
      </w:r>
      <w:r>
        <w:t xml:space="preserve"> ja </w:t>
      </w:r>
      <w:r w:rsidRPr="00690294">
        <w:t>Itä-Vantaan Yhteisö</w:t>
      </w:r>
      <w:r>
        <w:t xml:space="preserve">. </w:t>
      </w:r>
    </w:p>
    <w:p w14:paraId="0811C4A0" w14:textId="77777777" w:rsidR="00367B10" w:rsidRPr="003E0DE2" w:rsidRDefault="00367B10" w:rsidP="00367B10"/>
    <w:p w14:paraId="0121F3EA" w14:textId="457F6940" w:rsidR="00B359E5" w:rsidRDefault="00367B10" w:rsidP="00A639CF">
      <w:r w:rsidRPr="003E0DE2">
        <w:t>Palveluverkon linjauksia käsiteltiin maaliskuussa valtuustoseminaarissa ja linjauksista tehtiin ryhmätyöt suuralueittain. Ryhmätöiden materiaaleja hyödynnetään suunnitelman valmisteluun.</w:t>
      </w:r>
      <w:r>
        <w:t xml:space="preserve"> Vantaan </w:t>
      </w:r>
      <w:r w:rsidR="0085631B">
        <w:t xml:space="preserve">kaupungin </w:t>
      </w:r>
      <w:r>
        <w:t>palveluiden ja investointien suunnitelmaluonnosta käsitellään kokonaisuutena toukokuussa valtuustoseminaarissa.</w:t>
      </w:r>
      <w:r w:rsidR="00EB167A">
        <w:t xml:space="preserve"> </w:t>
      </w:r>
      <w:r w:rsidR="00080107">
        <w:t xml:space="preserve">Valtuustoseminaarin jälkeen suunnitelmaluonnos lähtee kommentointikierrokselle vaikuttamistoimielimiin. </w:t>
      </w:r>
      <w:r w:rsidR="00A639CF">
        <w:t>Valmisteilla oleva suunnitelma on tarkoitus viedä päätöksentekoon syksyllä 2026.</w:t>
      </w:r>
      <w:r w:rsidR="00D70C5F">
        <w:t xml:space="preserve"> </w:t>
      </w:r>
    </w:p>
    <w:p w14:paraId="1EAFB854" w14:textId="77777777" w:rsidR="0024342E" w:rsidRPr="00285C4A" w:rsidRDefault="0024342E" w:rsidP="00285C4A"/>
    <w:p w14:paraId="563F3373" w14:textId="77777777" w:rsidR="0024342E" w:rsidRPr="00285C4A" w:rsidRDefault="0024342E" w:rsidP="00285C4A"/>
    <w:p w14:paraId="53979FFD" w14:textId="58261005" w:rsidR="00621573" w:rsidRPr="004410A1" w:rsidRDefault="00080107" w:rsidP="00621573">
      <w:pPr>
        <w:rPr>
          <w:b/>
          <w:bCs/>
        </w:rPr>
      </w:pPr>
      <w:r w:rsidRPr="00080107">
        <w:rPr>
          <w:b/>
          <w:bCs/>
        </w:rPr>
        <w:t>Monikulttuurisuusasiain neuvottelukunta</w:t>
      </w:r>
      <w:r w:rsidR="00621573" w:rsidRPr="004410A1">
        <w:rPr>
          <w:b/>
          <w:bCs/>
        </w:rPr>
        <w:t xml:space="preserve"> </w:t>
      </w:r>
      <w:r w:rsidR="00B359E5">
        <w:rPr>
          <w:b/>
          <w:bCs/>
        </w:rPr>
        <w:t>2</w:t>
      </w:r>
      <w:r>
        <w:rPr>
          <w:b/>
          <w:bCs/>
        </w:rPr>
        <w:t>7</w:t>
      </w:r>
      <w:r w:rsidR="00621573" w:rsidRPr="004410A1">
        <w:rPr>
          <w:b/>
          <w:bCs/>
        </w:rPr>
        <w:t>.0</w:t>
      </w:r>
      <w:r w:rsidR="00367B10">
        <w:rPr>
          <w:b/>
          <w:bCs/>
        </w:rPr>
        <w:t>5</w:t>
      </w:r>
      <w:r w:rsidR="00621573" w:rsidRPr="004410A1">
        <w:rPr>
          <w:b/>
          <w:bCs/>
        </w:rPr>
        <w:t>.2026</w:t>
      </w:r>
    </w:p>
    <w:p w14:paraId="5A1723D4" w14:textId="77777777" w:rsidR="0024342E" w:rsidRPr="00285C4A" w:rsidRDefault="0024342E" w:rsidP="00285C4A"/>
    <w:p w14:paraId="79537FF3" w14:textId="11015020" w:rsidR="00386F0C" w:rsidRDefault="00367B10" w:rsidP="00621573">
      <w:pPr>
        <w:rPr>
          <w:b/>
        </w:rPr>
      </w:pPr>
      <w:r>
        <w:rPr>
          <w:b/>
        </w:rPr>
        <w:t>Esitys</w:t>
      </w:r>
      <w:r w:rsidR="00386F0C" w:rsidRPr="00386F0C">
        <w:rPr>
          <w:b/>
        </w:rPr>
        <w:t>:</w:t>
      </w:r>
    </w:p>
    <w:p w14:paraId="2AB28268" w14:textId="77777777" w:rsidR="00367B10" w:rsidRDefault="00367B10" w:rsidP="00621573">
      <w:r w:rsidRPr="00367B10">
        <w:t xml:space="preserve">Päätetään </w:t>
      </w:r>
    </w:p>
    <w:p w14:paraId="6F5DB440" w14:textId="4B57E5B7" w:rsidR="00367B10" w:rsidRDefault="00367B10" w:rsidP="00621573">
      <w:r w:rsidRPr="00367B10">
        <w:t xml:space="preserve">a) Käydä keskustelua </w:t>
      </w:r>
      <w:r>
        <w:t>Vantaan</w:t>
      </w:r>
      <w:r w:rsidR="0085631B">
        <w:t xml:space="preserve"> kaupungin</w:t>
      </w:r>
      <w:r>
        <w:t xml:space="preserve"> palveluiden ja investointien suunnitelmasta</w:t>
      </w:r>
    </w:p>
    <w:p w14:paraId="573BC7FF" w14:textId="49B0CE16" w:rsidR="00621573" w:rsidRDefault="00367B10" w:rsidP="00367B10">
      <w:r w:rsidRPr="00367B10">
        <w:t xml:space="preserve">b) </w:t>
      </w:r>
      <w:r>
        <w:t xml:space="preserve">Valita </w:t>
      </w:r>
      <w:r w:rsidR="00080107">
        <w:t>monikulttuurisuusasiain neuvottelukunnan edustajat</w:t>
      </w:r>
      <w:r>
        <w:t xml:space="preserve"> kommentoimaan suunnitelmaluonnosta</w:t>
      </w:r>
    </w:p>
    <w:p w14:paraId="30489C23" w14:textId="77777777" w:rsidR="0024342E" w:rsidRDefault="0024342E" w:rsidP="00285C4A"/>
    <w:p w14:paraId="0CC41A2E" w14:textId="5AD21BA1" w:rsidR="00FA4180" w:rsidRPr="006F1FF3" w:rsidRDefault="006F1FF3" w:rsidP="00285C4A">
      <w:pPr>
        <w:rPr>
          <w:b/>
          <w:bCs/>
        </w:rPr>
      </w:pPr>
      <w:r w:rsidRPr="006F1FF3">
        <w:rPr>
          <w:b/>
          <w:bCs/>
        </w:rPr>
        <w:t>Käsittely:</w:t>
      </w:r>
    </w:p>
    <w:p w14:paraId="0A9B3DBA" w14:textId="77777777" w:rsidR="003808EC" w:rsidRDefault="00F771EE" w:rsidP="00285C4A">
      <w:r>
        <w:t>Tiivistet</w:t>
      </w:r>
      <w:r w:rsidR="003808EC">
        <w:t>ysti,</w:t>
      </w:r>
      <w:r>
        <w:t xml:space="preserve"> palveluiden ja investointien suunnitelmassa pyritään ennakoimaan ja ohjaamaan kaupungin kasvua, </w:t>
      </w:r>
      <w:r w:rsidR="00D8050E">
        <w:t xml:space="preserve">palveluiden </w:t>
      </w:r>
      <w:r>
        <w:t xml:space="preserve">suunnittelua ja uutta rakentamista. </w:t>
      </w:r>
      <w:r w:rsidR="00D8050E">
        <w:t>Suunnitelma o</w:t>
      </w:r>
      <w:r w:rsidR="00D8050E">
        <w:t xml:space="preserve">hjaa vuotuista talousarvioprosessia, </w:t>
      </w:r>
      <w:r w:rsidR="00D8050E">
        <w:t xml:space="preserve">jossa </w:t>
      </w:r>
      <w:r w:rsidR="00D8050E">
        <w:t>rahoitusta tarkennetaan</w:t>
      </w:r>
      <w:r w:rsidR="00D8050E">
        <w:t xml:space="preserve">, </w:t>
      </w:r>
      <w:r w:rsidR="00D8050E">
        <w:t>aikatauluja täsmennetään</w:t>
      </w:r>
      <w:r w:rsidR="00D8050E">
        <w:t xml:space="preserve"> ja mahdollisia uusia tarpeita tarkastellaan. </w:t>
      </w:r>
    </w:p>
    <w:p w14:paraId="315D251A" w14:textId="5DBB7F5A" w:rsidR="00C9358C" w:rsidRDefault="00D8050E" w:rsidP="00285C4A">
      <w:r>
        <w:t>Suunnitelma sisältää asuinalueiden ja koko Vantaan seuraavan 10 vuoden tärkeimmät hankekokonaisuudet, esimerkiksi uudet asuinalueet, uudet palvelut kuten liikuntapaikat</w:t>
      </w:r>
      <w:r w:rsidR="003808EC">
        <w:t xml:space="preserve"> ja nuorisotilat sekä</w:t>
      </w:r>
      <w:r>
        <w:t xml:space="preserve"> alueen koulujen ja päiväkotien mahdollisen korjauksen</w:t>
      </w:r>
      <w:r w:rsidR="003808EC">
        <w:t xml:space="preserve">. </w:t>
      </w:r>
      <w:r w:rsidR="00B33A13">
        <w:t>Muutoksena aiempaan ja u</w:t>
      </w:r>
      <w:r w:rsidR="003808EC">
        <w:t xml:space="preserve">uden strategian mukaisesti nyt pohditaan, </w:t>
      </w:r>
      <w:r>
        <w:t>minkälaista muutosta halutaan saada aikaiseksi</w:t>
      </w:r>
      <w:r w:rsidR="0090612A">
        <w:t>,</w:t>
      </w:r>
      <w:r w:rsidR="003808EC">
        <w:t xml:space="preserve"> </w:t>
      </w:r>
      <w:r w:rsidR="00C0715E">
        <w:t>eikä lähdetä liikkeelle kaavoituksesta.</w:t>
      </w:r>
    </w:p>
    <w:p w14:paraId="0BAA0CD6" w14:textId="77777777" w:rsidR="00C9358C" w:rsidRDefault="00C9358C" w:rsidP="00285C4A"/>
    <w:p w14:paraId="4E503CA7" w14:textId="58548702" w:rsidR="008923DE" w:rsidRDefault="0090612A" w:rsidP="00285C4A">
      <w:r>
        <w:t>Järvi kertoi kuntalaisten o</w:t>
      </w:r>
      <w:r w:rsidR="006F1FF3">
        <w:t xml:space="preserve">sallistamisesta </w:t>
      </w:r>
      <w:r>
        <w:t>(</w:t>
      </w:r>
      <w:r w:rsidR="006F1FF3">
        <w:t>Voxit-keskustelut</w:t>
      </w:r>
      <w:r>
        <w:t>) sekä v</w:t>
      </w:r>
      <w:r w:rsidR="006F1FF3">
        <w:t>almistelun aikataulu</w:t>
      </w:r>
      <w:r>
        <w:t xml:space="preserve">sta. </w:t>
      </w:r>
      <w:r>
        <w:t>Suunnitelman päätöksenteko rytmitetään talousarvion yhteyteen.</w:t>
      </w:r>
      <w:r w:rsidR="00B33A13">
        <w:t xml:space="preserve"> S</w:t>
      </w:r>
      <w:r w:rsidR="000708DF">
        <w:t>itä käsiteltiin viime viikolla valtuustoseminaarissa</w:t>
      </w:r>
      <w:r w:rsidR="00B33A13">
        <w:t>.</w:t>
      </w:r>
      <w:r>
        <w:t xml:space="preserve"> </w:t>
      </w:r>
      <w:r>
        <w:t xml:space="preserve">Tällä hetkellä ajankohtaista on kerätä </w:t>
      </w:r>
      <w:r w:rsidR="008923DE">
        <w:t>toimielimistä ajatuksia valmistelun tueksi</w:t>
      </w:r>
      <w:r>
        <w:t xml:space="preserve">, myös monikulttuurisuusasiain neuvottelukunnalta. Järvi toivoi, että  </w:t>
      </w:r>
      <w:r w:rsidR="00697F6B">
        <w:t>jokaiselta suuralueelta</w:t>
      </w:r>
      <w:r>
        <w:t xml:space="preserve"> saadaan joku kommenttiryhmään.</w:t>
      </w:r>
    </w:p>
    <w:p w14:paraId="25740D3A" w14:textId="77777777" w:rsidR="00697F6B" w:rsidRDefault="00697F6B" w:rsidP="00285C4A"/>
    <w:p w14:paraId="4D204BA8" w14:textId="685CEBDF" w:rsidR="00F338EE" w:rsidRDefault="007579A8" w:rsidP="00F338EE">
      <w:r w:rsidRPr="0090612A">
        <w:rPr>
          <w:b/>
          <w:bCs/>
        </w:rPr>
        <w:t>Keskustelu</w:t>
      </w:r>
      <w:r>
        <w:t xml:space="preserve">: </w:t>
      </w:r>
      <w:r w:rsidR="001F0DC9">
        <w:t xml:space="preserve">palveluiden ja investointien suunnitelmasta virisi vilkas keskustelu. Esille nousi muun muassa muuttunut taloustilanne ja sen vaikutukset, Hakunilan keskustan kehittämistarpeet, investointirahojen jakamistapa (ei ole alueittaista vaan lähtee tarpeista ja vaatii priorisointia). </w:t>
      </w:r>
      <w:r w:rsidR="008126E8">
        <w:t xml:space="preserve">Huomautettiin, että </w:t>
      </w:r>
      <w:r w:rsidR="001F0DC9">
        <w:t>Myyrmäki-kalvon tilastot ja esittämistapa kaipa</w:t>
      </w:r>
      <w:r w:rsidR="008126E8">
        <w:t>avat s</w:t>
      </w:r>
      <w:r w:rsidR="001F0DC9">
        <w:t>el</w:t>
      </w:r>
      <w:r w:rsidR="008126E8">
        <w:t xml:space="preserve">keyttä. Kysyttiin myös </w:t>
      </w:r>
      <w:r w:rsidR="001F0DC9">
        <w:t>todellisista vaikuttamismahdollisuuksista</w:t>
      </w:r>
      <w:r w:rsidR="008126E8">
        <w:t xml:space="preserve">, johon vastattiin, että  </w:t>
      </w:r>
      <w:r w:rsidR="008126E8">
        <w:t>kommentit luetaan huolella ja pyritään ottamaan huomioon</w:t>
      </w:r>
      <w:r w:rsidR="008126E8">
        <w:t xml:space="preserve">, </w:t>
      </w:r>
      <w:r w:rsidR="008126E8">
        <w:lastRenderedPageBreak/>
        <w:t>mutta lukuja katsotaan tarkkaan</w:t>
      </w:r>
      <w:r w:rsidR="008126E8">
        <w:t>.</w:t>
      </w:r>
      <w:r w:rsidR="008126E8">
        <w:t xml:space="preserve"> Oman alueen tilanteen voi katsoa </w:t>
      </w:r>
      <w:r w:rsidR="008126E8">
        <w:t>talous</w:t>
      </w:r>
      <w:r w:rsidR="008126E8">
        <w:t>arvio</w:t>
      </w:r>
      <w:r w:rsidR="008126E8">
        <w:t>kirjan taka</w:t>
      </w:r>
      <w:r w:rsidR="008126E8">
        <w:t>a, jossa on investointi</w:t>
      </w:r>
      <w:r w:rsidR="008126E8">
        <w:t>osa</w:t>
      </w:r>
      <w:r w:rsidR="008126E8">
        <w:t xml:space="preserve"> lukuineen ja karttoineen. Tilanne </w:t>
      </w:r>
      <w:r w:rsidR="008126E8">
        <w:t>elää koko ajan</w:t>
      </w:r>
      <w:r w:rsidR="008126E8">
        <w:t xml:space="preserve"> ja </w:t>
      </w:r>
      <w:r w:rsidR="008126E8">
        <w:t>lopullinen hyväksyminen menee talousarvion kautta</w:t>
      </w:r>
      <w:r w:rsidR="008126E8">
        <w:t xml:space="preserve">. </w:t>
      </w:r>
      <w:r w:rsidR="00F338EE">
        <w:t xml:space="preserve">Myyrmäkeen liittyen kommentoitiin, että Oivallusten talosta on jo valtuuston päätös ja </w:t>
      </w:r>
      <w:r w:rsidR="00F338EE">
        <w:t>suunnitelmassa ollaan jo pitkällä</w:t>
      </w:r>
      <w:r w:rsidR="00F338EE">
        <w:t xml:space="preserve">. Tulossa on 2028 upea </w:t>
      </w:r>
      <w:r w:rsidR="00F338EE">
        <w:t>talo</w:t>
      </w:r>
      <w:r w:rsidR="00F338EE">
        <w:t>,</w:t>
      </w:r>
      <w:r w:rsidR="00F338EE">
        <w:t xml:space="preserve"> joka muuttaa suuresti kaupungin ilmettä</w:t>
      </w:r>
      <w:r w:rsidR="00F338EE">
        <w:t xml:space="preserve"> ja on monikäyttöinen</w:t>
      </w:r>
      <w:r w:rsidR="00F338EE">
        <w:t>.</w:t>
      </w:r>
      <w:r w:rsidR="00F338EE">
        <w:t xml:space="preserve"> </w:t>
      </w:r>
      <w:r w:rsidR="008126E8">
        <w:t>Kysyttiin myös mahdollisesta lapsivaikutusten arvioinnista</w:t>
      </w:r>
      <w:r w:rsidR="00F338EE">
        <w:t xml:space="preserve"> – sellainen tehdään </w:t>
      </w:r>
      <w:r w:rsidR="00F338EE">
        <w:t>suunnitelmavaiheessa</w:t>
      </w:r>
      <w:r w:rsidR="00F338EE">
        <w:t xml:space="preserve">, mikäli </w:t>
      </w:r>
      <w:r w:rsidR="00F338EE">
        <w:t>liittyy lapsiin</w:t>
      </w:r>
      <w:r w:rsidR="00F338EE">
        <w:t>, mutta ei kaikesta.</w:t>
      </w:r>
      <w:r w:rsidR="00F338EE">
        <w:t xml:space="preserve"> </w:t>
      </w:r>
      <w:r w:rsidR="00F338EE">
        <w:t xml:space="preserve">Säästötarpeisiin liittyen ihmeteltiin myös, miksi Hakunilassa </w:t>
      </w:r>
      <w:r w:rsidR="00F338EE">
        <w:t>katuvalot ovat aina päällä monessa paikassa</w:t>
      </w:r>
      <w:r w:rsidR="00F338EE">
        <w:t>.</w:t>
      </w:r>
    </w:p>
    <w:p w14:paraId="452B46BE" w14:textId="77777777" w:rsidR="00857C4B" w:rsidRDefault="00857C4B" w:rsidP="00285C4A"/>
    <w:p w14:paraId="377FD02A" w14:textId="3F6E27E2" w:rsidR="00E44048" w:rsidRDefault="00E44048" w:rsidP="00E44048">
      <w:pPr>
        <w:rPr>
          <w:b/>
        </w:rPr>
      </w:pPr>
      <w:r>
        <w:rPr>
          <w:b/>
        </w:rPr>
        <w:t>Päätös</w:t>
      </w:r>
      <w:r w:rsidRPr="00386F0C">
        <w:rPr>
          <w:b/>
        </w:rPr>
        <w:t>:</w:t>
      </w:r>
    </w:p>
    <w:p w14:paraId="670EA188" w14:textId="280D8199" w:rsidR="00E44048" w:rsidRDefault="00E44048" w:rsidP="00E44048">
      <w:r w:rsidRPr="00367B10">
        <w:t>a) Käy</w:t>
      </w:r>
      <w:r>
        <w:t>tiin</w:t>
      </w:r>
      <w:r w:rsidRPr="00367B10">
        <w:t xml:space="preserve"> keskustelua </w:t>
      </w:r>
      <w:r>
        <w:t>Vantaan kaupungin palveluiden ja investointien suunnitelmasta</w:t>
      </w:r>
    </w:p>
    <w:p w14:paraId="3757BBD8" w14:textId="3504B033" w:rsidR="00E44048" w:rsidRDefault="00E44048" w:rsidP="00E44048">
      <w:r w:rsidRPr="00367B10">
        <w:t xml:space="preserve">b) </w:t>
      </w:r>
      <w:r>
        <w:t>Valit</w:t>
      </w:r>
      <w:r>
        <w:t xml:space="preserve">tiin </w:t>
      </w:r>
      <w:r>
        <w:t>monikulttuurisuusasiain neuvottelukunna</w:t>
      </w:r>
      <w:r>
        <w:t xml:space="preserve">n </w:t>
      </w:r>
      <w:r>
        <w:t xml:space="preserve">edustajat </w:t>
      </w:r>
      <w:r>
        <w:t xml:space="preserve">työryhmään </w:t>
      </w:r>
      <w:r>
        <w:t>kommentoimaan suunnitelmaluonnosta</w:t>
      </w:r>
      <w:r>
        <w:t xml:space="preserve"> seuraavasti: </w:t>
      </w:r>
    </w:p>
    <w:p w14:paraId="460BB7D9" w14:textId="77777777" w:rsidR="00E44048" w:rsidRDefault="00BD3217" w:rsidP="004E4FF5">
      <w:pPr>
        <w:pStyle w:val="Luettelokappale"/>
        <w:numPr>
          <w:ilvl w:val="0"/>
          <w:numId w:val="27"/>
        </w:numPr>
      </w:pPr>
      <w:r>
        <w:t>Koivukylä</w:t>
      </w:r>
      <w:r w:rsidR="00E44048">
        <w:t xml:space="preserve">: </w:t>
      </w:r>
      <w:r>
        <w:t>Ellen</w:t>
      </w:r>
      <w:r w:rsidR="00E44048">
        <w:t xml:space="preserve"> Pessi ja</w:t>
      </w:r>
      <w:r>
        <w:t xml:space="preserve"> Xhemail</w:t>
      </w:r>
      <w:r w:rsidR="00E44048">
        <w:t xml:space="preserve"> Jashanica</w:t>
      </w:r>
    </w:p>
    <w:p w14:paraId="12A7FDBF" w14:textId="77777777" w:rsidR="00E44048" w:rsidRDefault="00BD3217" w:rsidP="008D0715">
      <w:pPr>
        <w:pStyle w:val="Luettelokappale"/>
        <w:numPr>
          <w:ilvl w:val="0"/>
          <w:numId w:val="27"/>
        </w:numPr>
      </w:pPr>
      <w:r>
        <w:t>Hakunila: Burhan</w:t>
      </w:r>
      <w:r w:rsidR="00E44048">
        <w:t xml:space="preserve"> Hamdon ja </w:t>
      </w:r>
      <w:r>
        <w:t>Johanna</w:t>
      </w:r>
      <w:r w:rsidR="00E44048">
        <w:t xml:space="preserve"> Sjöholm</w:t>
      </w:r>
    </w:p>
    <w:p w14:paraId="7DBC5CBE" w14:textId="77777777" w:rsidR="00E44048" w:rsidRDefault="00BD3217" w:rsidP="00455001">
      <w:pPr>
        <w:pStyle w:val="Luettelokappale"/>
        <w:numPr>
          <w:ilvl w:val="0"/>
          <w:numId w:val="27"/>
        </w:numPr>
      </w:pPr>
      <w:r>
        <w:t>Myyrmäki: Leila</w:t>
      </w:r>
      <w:r w:rsidR="00E44048">
        <w:t xml:space="preserve"> Gharajeh Daghi ja </w:t>
      </w:r>
      <w:r>
        <w:t>Ruth</w:t>
      </w:r>
      <w:r w:rsidR="00E44048">
        <w:t xml:space="preserve"> Kaboi-Mattila</w:t>
      </w:r>
    </w:p>
    <w:p w14:paraId="153E1E36" w14:textId="77777777" w:rsidR="00E44048" w:rsidRDefault="00BD3217" w:rsidP="00100C19">
      <w:pPr>
        <w:pStyle w:val="Luettelokappale"/>
        <w:numPr>
          <w:ilvl w:val="0"/>
          <w:numId w:val="27"/>
        </w:numPr>
      </w:pPr>
      <w:r>
        <w:t xml:space="preserve">Korso: Svetlana </w:t>
      </w:r>
      <w:r w:rsidR="00E44048">
        <w:t>Tchistiakova</w:t>
      </w:r>
    </w:p>
    <w:p w14:paraId="7972B5F3" w14:textId="77777777" w:rsidR="00E44048" w:rsidRDefault="00BD3217" w:rsidP="000942CA">
      <w:pPr>
        <w:pStyle w:val="Luettelokappale"/>
        <w:numPr>
          <w:ilvl w:val="0"/>
          <w:numId w:val="27"/>
        </w:numPr>
      </w:pPr>
      <w:r>
        <w:t xml:space="preserve">Aviapolis: Sunil </w:t>
      </w:r>
      <w:r w:rsidR="00E44048">
        <w:t>Thakur</w:t>
      </w:r>
    </w:p>
    <w:p w14:paraId="639B1B76" w14:textId="322728AF" w:rsidR="00BD3217" w:rsidRDefault="00D82739" w:rsidP="000942CA">
      <w:pPr>
        <w:pStyle w:val="Luettelokappale"/>
        <w:numPr>
          <w:ilvl w:val="0"/>
          <w:numId w:val="27"/>
        </w:numPr>
      </w:pPr>
      <w:r>
        <w:t xml:space="preserve">Tikkurila: </w:t>
      </w:r>
      <w:r w:rsidR="00E44048">
        <w:t xml:space="preserve">Ziaulhag </w:t>
      </w:r>
      <w:r>
        <w:t>Momeni</w:t>
      </w:r>
    </w:p>
    <w:p w14:paraId="35945C53" w14:textId="77777777" w:rsidR="00D82739" w:rsidRDefault="00D82739" w:rsidP="00285C4A"/>
    <w:p w14:paraId="47EFAC9C" w14:textId="1661446D" w:rsidR="000D6103" w:rsidRDefault="00E44048" w:rsidP="00285C4A">
      <w:r>
        <w:t xml:space="preserve">Noora Järvi ehdottaa </w:t>
      </w:r>
      <w:r w:rsidR="000D6103">
        <w:t>Teams</w:t>
      </w:r>
      <w:r>
        <w:t xml:space="preserve">-tapaamiselle ilta-aikoja. </w:t>
      </w:r>
      <w:r w:rsidR="000D6103">
        <w:t>Jos ei pääse</w:t>
      </w:r>
      <w:r>
        <w:t xml:space="preserve"> silloin mukaan, </w:t>
      </w:r>
      <w:r w:rsidR="000D6103">
        <w:t>voi lähettää sähköpostilla kommentit</w:t>
      </w:r>
      <w:r>
        <w:t xml:space="preserve"> luonnokseen, jonka hän lähettää työryhmäläisille.</w:t>
      </w:r>
      <w:r w:rsidR="00F771EE">
        <w:t xml:space="preserve"> </w:t>
      </w:r>
      <w:r w:rsidR="00F771EE" w:rsidRPr="00F771EE">
        <w:t>Kommentit kirjoitetaan vapaamuotoisesti ja toimitetaan sähköpostitse Noora Järvelle (noora.jarvi@vantaa.fi) 18.6. mennessä.</w:t>
      </w:r>
    </w:p>
    <w:p w14:paraId="2D8F0588" w14:textId="77777777" w:rsidR="000D6103" w:rsidRDefault="000D6103" w:rsidP="00285C4A"/>
    <w:p w14:paraId="6C9668CD" w14:textId="77777777" w:rsidR="006F1FF3" w:rsidRDefault="006F1FF3" w:rsidP="00285C4A"/>
    <w:p w14:paraId="5AA2F0E7" w14:textId="77777777" w:rsidR="006F1FF3" w:rsidRDefault="006F1FF3" w:rsidP="00285C4A"/>
    <w:p w14:paraId="72D65F36" w14:textId="613F761C" w:rsidR="00926F5D" w:rsidRDefault="00926F5D" w:rsidP="00285C4A">
      <w:r w:rsidRPr="00926F5D">
        <w:t xml:space="preserve">Liitteet: </w:t>
      </w:r>
    </w:p>
    <w:p w14:paraId="6E37D131" w14:textId="4050B256" w:rsidR="0024342E" w:rsidRDefault="00926F5D" w:rsidP="00285C4A">
      <w:r w:rsidRPr="00926F5D">
        <w:t>- Palveluverkon linjaukset</w:t>
      </w:r>
    </w:p>
    <w:p w14:paraId="24572692" w14:textId="77777777" w:rsidR="00926F5D" w:rsidRPr="00285C4A" w:rsidRDefault="00926F5D" w:rsidP="00285C4A"/>
    <w:p w14:paraId="74D6F83F" w14:textId="351520B5" w:rsidR="0024342E" w:rsidRPr="00285C4A" w:rsidRDefault="00FA4180" w:rsidP="00285C4A">
      <w:r w:rsidRPr="00FA4180">
        <w:t>Muutoksenhakuohje: 3.1. Oikaisuvaatimus- ja valituskielto</w:t>
      </w:r>
    </w:p>
    <w:p w14:paraId="75FE9141" w14:textId="77777777" w:rsidR="0024342E" w:rsidRPr="00285C4A" w:rsidRDefault="0024342E" w:rsidP="00285C4A"/>
    <w:p w14:paraId="42175AEE" w14:textId="77777777" w:rsidR="0024342E" w:rsidRPr="00285C4A" w:rsidRDefault="0024342E" w:rsidP="00285C4A">
      <w:r w:rsidRPr="00285C4A">
        <w:t>Lisätiedot:</w:t>
      </w:r>
    </w:p>
    <w:p w14:paraId="1DAC0DA1" w14:textId="77777777" w:rsidR="00621573" w:rsidRDefault="00621573" w:rsidP="00621573">
      <w:r>
        <w:t>erityisasiantuntija Noora Järvi, puh. 0</w:t>
      </w:r>
      <w:r w:rsidRPr="00E46076">
        <w:t>40 511 7121</w:t>
      </w:r>
    </w:p>
    <w:p w14:paraId="78B5E705" w14:textId="77777777" w:rsidR="0024342E" w:rsidRPr="00285C4A" w:rsidRDefault="00343E97" w:rsidP="00285C4A">
      <w:r>
        <w:t>(</w:t>
      </w:r>
      <w:r w:rsidR="00225DBA" w:rsidRPr="00285C4A">
        <w:t>etunimi.sukunimi[at]vantaa.fi</w:t>
      </w:r>
      <w:r>
        <w:t>)</w:t>
      </w:r>
    </w:p>
    <w:p w14:paraId="756C9895" w14:textId="77777777" w:rsidR="0024342E" w:rsidRPr="00285C4A" w:rsidRDefault="0024342E" w:rsidP="00285C4A"/>
    <w:sectPr w:rsidR="0024342E" w:rsidRPr="00285C4A" w:rsidSect="00D5516D">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709" w:left="1134" w:header="425"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A058F" w14:textId="77777777" w:rsidR="00E547C4" w:rsidRDefault="00E547C4" w:rsidP="00285C4A">
      <w:r>
        <w:separator/>
      </w:r>
    </w:p>
  </w:endnote>
  <w:endnote w:type="continuationSeparator" w:id="0">
    <w:p w14:paraId="49E56750" w14:textId="77777777" w:rsidR="00E547C4" w:rsidRDefault="00E547C4" w:rsidP="0028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C6B" w14:textId="77777777" w:rsidR="003E24F9" w:rsidRDefault="003E24F9" w:rsidP="00285C4A">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8497" w14:textId="77777777" w:rsidR="003E24F9" w:rsidRDefault="003E24F9" w:rsidP="00285C4A">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E4FB" w14:textId="77777777" w:rsidR="003E24F9" w:rsidRDefault="003E24F9" w:rsidP="00285C4A">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0C87" w14:textId="77777777" w:rsidR="00E547C4" w:rsidRDefault="00E547C4" w:rsidP="00285C4A">
      <w:r>
        <w:separator/>
      </w:r>
    </w:p>
  </w:footnote>
  <w:footnote w:type="continuationSeparator" w:id="0">
    <w:p w14:paraId="387AA565" w14:textId="77777777" w:rsidR="00E547C4" w:rsidRDefault="00E547C4" w:rsidP="0028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BB42" w14:textId="77777777" w:rsidR="003E24F9" w:rsidRDefault="003E24F9" w:rsidP="00285C4A">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13" w:type="dxa"/>
        <w:right w:w="113" w:type="dxa"/>
      </w:tblCellMar>
      <w:tblLook w:val="0000" w:firstRow="0" w:lastRow="0" w:firstColumn="0" w:lastColumn="0" w:noHBand="0" w:noVBand="0"/>
    </w:tblPr>
    <w:tblGrid>
      <w:gridCol w:w="5137"/>
      <w:gridCol w:w="2347"/>
      <w:gridCol w:w="142"/>
      <w:gridCol w:w="1236"/>
      <w:gridCol w:w="1412"/>
    </w:tblGrid>
    <w:tr w:rsidR="00915609" w:rsidRPr="00617B8D" w14:paraId="7F46B7CB" w14:textId="77777777" w:rsidTr="00B6148C">
      <w:trPr>
        <w:cantSplit/>
        <w:trHeight w:val="240"/>
      </w:trPr>
      <w:tc>
        <w:tcPr>
          <w:tcW w:w="5137" w:type="dxa"/>
          <w:vMerge w:val="restart"/>
          <w:tcBorders>
            <w:bottom w:val="single" w:sz="4" w:space="0" w:color="auto"/>
          </w:tcBorders>
        </w:tcPr>
        <w:p w14:paraId="2EE4DBAA" w14:textId="5F4B4F0D" w:rsidR="00915609" w:rsidRPr="00617B8D" w:rsidRDefault="00DD516E" w:rsidP="00285C4A">
          <w:pPr>
            <w:rPr>
              <w:rFonts w:ascii="Times New Roman" w:hAnsi="Times New Roman"/>
              <w:sz w:val="16"/>
              <w:szCs w:val="16"/>
            </w:rPr>
          </w:pPr>
          <w:r>
            <w:rPr>
              <w:rFonts w:ascii="Times New Roman" w:hAnsi="Times New Roman"/>
              <w:noProof/>
              <w:sz w:val="16"/>
              <w:szCs w:val="16"/>
            </w:rPr>
            <w:drawing>
              <wp:inline distT="0" distB="0" distL="0" distR="0" wp14:anchorId="639016F1" wp14:editId="3E87155C">
                <wp:extent cx="1638300" cy="466725"/>
                <wp:effectExtent l="0" t="0" r="0" b="0"/>
                <wp:docPr id="1"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66725"/>
                        </a:xfrm>
                        <a:prstGeom prst="rect">
                          <a:avLst/>
                        </a:prstGeom>
                        <a:noFill/>
                        <a:ln>
                          <a:noFill/>
                        </a:ln>
                      </pic:spPr>
                    </pic:pic>
                  </a:graphicData>
                </a:graphic>
              </wp:inline>
            </w:drawing>
          </w:r>
        </w:p>
      </w:tc>
      <w:tc>
        <w:tcPr>
          <w:tcW w:w="2347" w:type="dxa"/>
        </w:tcPr>
        <w:p w14:paraId="1CCBC7B3" w14:textId="77777777" w:rsidR="00915609" w:rsidRPr="00617B8D" w:rsidRDefault="00915609" w:rsidP="00285C4A">
          <w:pPr>
            <w:rPr>
              <w:rFonts w:ascii="Times New Roman" w:hAnsi="Times New Roman"/>
              <w:sz w:val="16"/>
              <w:szCs w:val="16"/>
            </w:rPr>
          </w:pPr>
        </w:p>
      </w:tc>
      <w:tc>
        <w:tcPr>
          <w:tcW w:w="1378" w:type="dxa"/>
          <w:gridSpan w:val="2"/>
        </w:tcPr>
        <w:p w14:paraId="50B8E7AE" w14:textId="77777777" w:rsidR="00915609" w:rsidRPr="00617B8D" w:rsidRDefault="00915609" w:rsidP="00285C4A">
          <w:pPr>
            <w:rPr>
              <w:rFonts w:ascii="Times New Roman" w:hAnsi="Times New Roman"/>
              <w:sz w:val="16"/>
              <w:szCs w:val="16"/>
            </w:rPr>
          </w:pPr>
        </w:p>
      </w:tc>
      <w:tc>
        <w:tcPr>
          <w:tcW w:w="1412" w:type="dxa"/>
        </w:tcPr>
        <w:p w14:paraId="609CED41" w14:textId="77777777" w:rsidR="00915609" w:rsidRPr="00617B8D" w:rsidRDefault="00915609" w:rsidP="00285C4A">
          <w:pPr>
            <w:rPr>
              <w:rFonts w:ascii="Times New Roman" w:hAnsi="Times New Roman"/>
              <w:sz w:val="16"/>
              <w:szCs w:val="16"/>
            </w:rPr>
          </w:pPr>
        </w:p>
      </w:tc>
    </w:tr>
    <w:tr w:rsidR="00915609" w:rsidRPr="00617B8D" w14:paraId="35601D3A" w14:textId="77777777" w:rsidTr="00B6148C">
      <w:trPr>
        <w:cantSplit/>
        <w:trHeight w:val="240"/>
      </w:trPr>
      <w:tc>
        <w:tcPr>
          <w:tcW w:w="5137" w:type="dxa"/>
          <w:vMerge/>
          <w:tcBorders>
            <w:bottom w:val="single" w:sz="4" w:space="0" w:color="auto"/>
          </w:tcBorders>
        </w:tcPr>
        <w:p w14:paraId="5705D723" w14:textId="77777777" w:rsidR="00915609" w:rsidRPr="00617B8D" w:rsidRDefault="00915609" w:rsidP="00285C4A">
          <w:pPr>
            <w:rPr>
              <w:rFonts w:ascii="Times New Roman" w:hAnsi="Times New Roman"/>
              <w:sz w:val="16"/>
              <w:szCs w:val="16"/>
            </w:rPr>
          </w:pPr>
        </w:p>
      </w:tc>
      <w:tc>
        <w:tcPr>
          <w:tcW w:w="2489" w:type="dxa"/>
          <w:gridSpan w:val="2"/>
        </w:tcPr>
        <w:p w14:paraId="161B453D" w14:textId="77777777" w:rsidR="00915609" w:rsidRPr="00617B8D" w:rsidRDefault="00915609" w:rsidP="00B6148C">
          <w:pPr>
            <w:pStyle w:val="TwebTeksti"/>
            <w:rPr>
              <w:rFonts w:ascii="Times New Roman" w:hAnsi="Times New Roman"/>
              <w:b/>
              <w:bCs/>
              <w:sz w:val="16"/>
              <w:szCs w:val="16"/>
            </w:rPr>
          </w:pPr>
        </w:p>
      </w:tc>
      <w:tc>
        <w:tcPr>
          <w:tcW w:w="1236" w:type="dxa"/>
        </w:tcPr>
        <w:p w14:paraId="2F3C01BD" w14:textId="77777777" w:rsidR="00915609" w:rsidRPr="00617B8D" w:rsidRDefault="00915609" w:rsidP="00285C4A">
          <w:pPr>
            <w:rPr>
              <w:rFonts w:ascii="Times New Roman" w:hAnsi="Times New Roman"/>
              <w:sz w:val="16"/>
              <w:szCs w:val="16"/>
            </w:rPr>
          </w:pPr>
        </w:p>
      </w:tc>
      <w:tc>
        <w:tcPr>
          <w:tcW w:w="1412" w:type="dxa"/>
        </w:tcPr>
        <w:p w14:paraId="2C1B7B90" w14:textId="77777777" w:rsidR="00915609" w:rsidRPr="00617B8D" w:rsidRDefault="00915609" w:rsidP="00285C4A">
          <w:pPr>
            <w:rPr>
              <w:rFonts w:ascii="Times New Roman" w:hAnsi="Times New Roman"/>
              <w:sz w:val="16"/>
              <w:szCs w:val="16"/>
            </w:rPr>
          </w:pPr>
        </w:p>
      </w:tc>
    </w:tr>
    <w:tr w:rsidR="00915609" w:rsidRPr="00617B8D" w14:paraId="4687A3E8" w14:textId="77777777" w:rsidTr="00B6148C">
      <w:trPr>
        <w:cantSplit/>
        <w:trHeight w:val="240"/>
      </w:trPr>
      <w:tc>
        <w:tcPr>
          <w:tcW w:w="5137" w:type="dxa"/>
          <w:vMerge/>
          <w:tcBorders>
            <w:bottom w:val="single" w:sz="4" w:space="0" w:color="auto"/>
          </w:tcBorders>
        </w:tcPr>
        <w:p w14:paraId="434E12B6" w14:textId="77777777" w:rsidR="00915609" w:rsidRPr="00617B8D" w:rsidRDefault="00915609" w:rsidP="00285C4A">
          <w:pPr>
            <w:rPr>
              <w:rFonts w:ascii="Times New Roman" w:hAnsi="Times New Roman"/>
              <w:sz w:val="16"/>
              <w:szCs w:val="16"/>
            </w:rPr>
          </w:pPr>
        </w:p>
      </w:tc>
      <w:tc>
        <w:tcPr>
          <w:tcW w:w="3725" w:type="dxa"/>
          <w:gridSpan w:val="3"/>
        </w:tcPr>
        <w:p w14:paraId="2530A563" w14:textId="77777777" w:rsidR="00915609" w:rsidRPr="00617B8D" w:rsidRDefault="00915609" w:rsidP="00285C4A">
          <w:pPr>
            <w:rPr>
              <w:rFonts w:ascii="Times New Roman" w:hAnsi="Times New Roman"/>
              <w:sz w:val="16"/>
              <w:szCs w:val="16"/>
            </w:rPr>
          </w:pPr>
        </w:p>
      </w:tc>
      <w:tc>
        <w:tcPr>
          <w:tcW w:w="1412" w:type="dxa"/>
        </w:tcPr>
        <w:p w14:paraId="56459590" w14:textId="77777777" w:rsidR="00915609" w:rsidRPr="00617B8D" w:rsidRDefault="00915609" w:rsidP="00285C4A">
          <w:pPr>
            <w:rPr>
              <w:rFonts w:ascii="Times New Roman" w:hAnsi="Times New Roman"/>
              <w:sz w:val="16"/>
              <w:szCs w:val="16"/>
            </w:rPr>
          </w:pPr>
        </w:p>
      </w:tc>
    </w:tr>
    <w:tr w:rsidR="00915609" w:rsidRPr="00617B8D" w14:paraId="0C01E7C1" w14:textId="77777777" w:rsidTr="00B6148C">
      <w:trPr>
        <w:cantSplit/>
        <w:trHeight w:val="71"/>
      </w:trPr>
      <w:tc>
        <w:tcPr>
          <w:tcW w:w="5137" w:type="dxa"/>
          <w:vMerge/>
          <w:tcBorders>
            <w:bottom w:val="single" w:sz="4" w:space="0" w:color="auto"/>
          </w:tcBorders>
        </w:tcPr>
        <w:p w14:paraId="5CA7D904" w14:textId="77777777" w:rsidR="00915609" w:rsidRPr="00617B8D" w:rsidRDefault="00915609" w:rsidP="00285C4A">
          <w:pPr>
            <w:rPr>
              <w:rFonts w:ascii="Times New Roman" w:hAnsi="Times New Roman"/>
              <w:sz w:val="16"/>
              <w:szCs w:val="16"/>
            </w:rPr>
          </w:pPr>
        </w:p>
      </w:tc>
      <w:tc>
        <w:tcPr>
          <w:tcW w:w="2489" w:type="dxa"/>
          <w:gridSpan w:val="2"/>
          <w:tcBorders>
            <w:bottom w:val="single" w:sz="4" w:space="0" w:color="auto"/>
          </w:tcBorders>
        </w:tcPr>
        <w:p w14:paraId="2E3D5136" w14:textId="77777777" w:rsidR="00915609" w:rsidRPr="00617B8D" w:rsidRDefault="00915609" w:rsidP="00285C4A">
          <w:pPr>
            <w:rPr>
              <w:rFonts w:ascii="Times New Roman" w:hAnsi="Times New Roman"/>
              <w:sz w:val="16"/>
              <w:szCs w:val="16"/>
            </w:rPr>
          </w:pPr>
        </w:p>
      </w:tc>
      <w:tc>
        <w:tcPr>
          <w:tcW w:w="2648" w:type="dxa"/>
          <w:gridSpan w:val="2"/>
          <w:tcBorders>
            <w:bottom w:val="single" w:sz="4" w:space="0" w:color="auto"/>
          </w:tcBorders>
        </w:tcPr>
        <w:p w14:paraId="01614788" w14:textId="77777777" w:rsidR="00915609" w:rsidRPr="00617B8D" w:rsidRDefault="00915609" w:rsidP="00285C4A">
          <w:pPr>
            <w:rPr>
              <w:rFonts w:ascii="Times New Roman" w:hAnsi="Times New Roman"/>
              <w:sz w:val="16"/>
              <w:szCs w:val="16"/>
            </w:rPr>
          </w:pPr>
        </w:p>
      </w:tc>
    </w:tr>
  </w:tbl>
  <w:p w14:paraId="40248532" w14:textId="77777777" w:rsidR="00703DF3" w:rsidRDefault="00703DF3" w:rsidP="00285C4A">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13" w:type="dxa"/>
        <w:right w:w="113" w:type="dxa"/>
      </w:tblCellMar>
      <w:tblLook w:val="0000" w:firstRow="0" w:lastRow="0" w:firstColumn="0" w:lastColumn="0" w:noHBand="0" w:noVBand="0"/>
    </w:tblPr>
    <w:tblGrid>
      <w:gridCol w:w="5137"/>
      <w:gridCol w:w="2347"/>
      <w:gridCol w:w="142"/>
      <w:gridCol w:w="1236"/>
      <w:gridCol w:w="1412"/>
    </w:tblGrid>
    <w:tr w:rsidR="00703DF3" w:rsidRPr="00DB2485" w14:paraId="43811768" w14:textId="77777777" w:rsidTr="00763299">
      <w:trPr>
        <w:cantSplit/>
        <w:trHeight w:val="240"/>
      </w:trPr>
      <w:tc>
        <w:tcPr>
          <w:tcW w:w="5137" w:type="dxa"/>
          <w:vMerge w:val="restart"/>
          <w:tcBorders>
            <w:bottom w:val="single" w:sz="4" w:space="0" w:color="auto"/>
          </w:tcBorders>
        </w:tcPr>
        <w:p w14:paraId="3C9CE853" w14:textId="46B52105" w:rsidR="00703DF3" w:rsidRPr="00DB2485" w:rsidRDefault="00DD516E" w:rsidP="00285C4A">
          <w:r>
            <w:rPr>
              <w:noProof/>
            </w:rPr>
            <w:drawing>
              <wp:inline distT="0" distB="0" distL="0" distR="0" wp14:anchorId="76A481A4" wp14:editId="6D9D4D8E">
                <wp:extent cx="1638300" cy="466725"/>
                <wp:effectExtent l="0" t="0" r="0" b="0"/>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66725"/>
                        </a:xfrm>
                        <a:prstGeom prst="rect">
                          <a:avLst/>
                        </a:prstGeom>
                        <a:noFill/>
                        <a:ln>
                          <a:noFill/>
                        </a:ln>
                      </pic:spPr>
                    </pic:pic>
                  </a:graphicData>
                </a:graphic>
              </wp:inline>
            </w:drawing>
          </w:r>
        </w:p>
      </w:tc>
      <w:tc>
        <w:tcPr>
          <w:tcW w:w="2347" w:type="dxa"/>
        </w:tcPr>
        <w:p w14:paraId="6A899895" w14:textId="77777777" w:rsidR="00703DF3" w:rsidRPr="00C004A7" w:rsidRDefault="00703DF3" w:rsidP="00285C4A"/>
      </w:tc>
      <w:tc>
        <w:tcPr>
          <w:tcW w:w="1378" w:type="dxa"/>
          <w:gridSpan w:val="2"/>
        </w:tcPr>
        <w:p w14:paraId="3BAF8391" w14:textId="77777777" w:rsidR="00703DF3" w:rsidRPr="00C004A7" w:rsidRDefault="00703DF3" w:rsidP="00285C4A"/>
      </w:tc>
      <w:tc>
        <w:tcPr>
          <w:tcW w:w="1412" w:type="dxa"/>
        </w:tcPr>
        <w:p w14:paraId="575719AE" w14:textId="77777777" w:rsidR="00703DF3" w:rsidRPr="00DB2485" w:rsidRDefault="00703DF3" w:rsidP="00285C4A"/>
      </w:tc>
    </w:tr>
    <w:tr w:rsidR="00703DF3" w:rsidRPr="00DB2485" w14:paraId="64FAE360" w14:textId="77777777" w:rsidTr="00763299">
      <w:trPr>
        <w:cantSplit/>
        <w:trHeight w:val="240"/>
      </w:trPr>
      <w:tc>
        <w:tcPr>
          <w:tcW w:w="5137" w:type="dxa"/>
          <w:vMerge/>
          <w:tcBorders>
            <w:bottom w:val="single" w:sz="4" w:space="0" w:color="auto"/>
          </w:tcBorders>
        </w:tcPr>
        <w:p w14:paraId="4A6BB989" w14:textId="77777777" w:rsidR="00703DF3" w:rsidRPr="00DB2485" w:rsidRDefault="00703DF3" w:rsidP="00285C4A"/>
      </w:tc>
      <w:tc>
        <w:tcPr>
          <w:tcW w:w="2489" w:type="dxa"/>
          <w:gridSpan w:val="2"/>
        </w:tcPr>
        <w:p w14:paraId="21B9A4EC" w14:textId="77777777" w:rsidR="00703DF3" w:rsidRPr="00C004A7" w:rsidRDefault="00703DF3" w:rsidP="00763299">
          <w:pPr>
            <w:pStyle w:val="TwebTeksti"/>
            <w:rPr>
              <w:b/>
              <w:bCs/>
              <w:sz w:val="18"/>
              <w:szCs w:val="18"/>
            </w:rPr>
          </w:pPr>
        </w:p>
      </w:tc>
      <w:tc>
        <w:tcPr>
          <w:tcW w:w="1236" w:type="dxa"/>
        </w:tcPr>
        <w:p w14:paraId="69F8B7A4" w14:textId="77777777" w:rsidR="00703DF3" w:rsidRPr="00C004A7" w:rsidRDefault="00703DF3" w:rsidP="00285C4A"/>
      </w:tc>
      <w:tc>
        <w:tcPr>
          <w:tcW w:w="1412" w:type="dxa"/>
        </w:tcPr>
        <w:p w14:paraId="05A9FA7B" w14:textId="77777777" w:rsidR="00703DF3" w:rsidRPr="00CA1360" w:rsidRDefault="00703DF3" w:rsidP="00285C4A"/>
      </w:tc>
    </w:tr>
    <w:tr w:rsidR="00703DF3" w:rsidRPr="00DB2485" w14:paraId="2E55B084" w14:textId="77777777" w:rsidTr="00763299">
      <w:trPr>
        <w:cantSplit/>
        <w:trHeight w:val="240"/>
      </w:trPr>
      <w:tc>
        <w:tcPr>
          <w:tcW w:w="5137" w:type="dxa"/>
          <w:vMerge/>
          <w:tcBorders>
            <w:bottom w:val="single" w:sz="4" w:space="0" w:color="auto"/>
          </w:tcBorders>
        </w:tcPr>
        <w:p w14:paraId="07F1B78A" w14:textId="77777777" w:rsidR="00703DF3" w:rsidRPr="00DB2485" w:rsidRDefault="00703DF3" w:rsidP="00285C4A"/>
      </w:tc>
      <w:tc>
        <w:tcPr>
          <w:tcW w:w="3725" w:type="dxa"/>
          <w:gridSpan w:val="3"/>
        </w:tcPr>
        <w:p w14:paraId="5F1ADE8E" w14:textId="77777777" w:rsidR="00703DF3" w:rsidRPr="00C004A7" w:rsidRDefault="00703DF3" w:rsidP="00285C4A"/>
      </w:tc>
      <w:tc>
        <w:tcPr>
          <w:tcW w:w="1412" w:type="dxa"/>
        </w:tcPr>
        <w:p w14:paraId="24D8DAFC" w14:textId="77777777" w:rsidR="00703DF3" w:rsidRPr="00DB2485" w:rsidRDefault="00703DF3" w:rsidP="00285C4A"/>
      </w:tc>
    </w:tr>
    <w:tr w:rsidR="00703DF3" w:rsidRPr="00DB2485" w14:paraId="35D8D77F" w14:textId="77777777" w:rsidTr="00763299">
      <w:trPr>
        <w:cantSplit/>
        <w:trHeight w:val="71"/>
      </w:trPr>
      <w:tc>
        <w:tcPr>
          <w:tcW w:w="5137" w:type="dxa"/>
          <w:vMerge/>
          <w:tcBorders>
            <w:bottom w:val="single" w:sz="4" w:space="0" w:color="auto"/>
          </w:tcBorders>
        </w:tcPr>
        <w:p w14:paraId="28618FEC" w14:textId="77777777" w:rsidR="00703DF3" w:rsidRPr="00DB2485" w:rsidRDefault="00703DF3" w:rsidP="00285C4A"/>
      </w:tc>
      <w:tc>
        <w:tcPr>
          <w:tcW w:w="2489" w:type="dxa"/>
          <w:gridSpan w:val="2"/>
          <w:tcBorders>
            <w:bottom w:val="single" w:sz="4" w:space="0" w:color="auto"/>
          </w:tcBorders>
        </w:tcPr>
        <w:p w14:paraId="41DB0DA7" w14:textId="77777777" w:rsidR="00703DF3" w:rsidRPr="00DB2485" w:rsidRDefault="00703DF3" w:rsidP="00285C4A"/>
      </w:tc>
      <w:tc>
        <w:tcPr>
          <w:tcW w:w="2648" w:type="dxa"/>
          <w:gridSpan w:val="2"/>
          <w:tcBorders>
            <w:bottom w:val="single" w:sz="4" w:space="0" w:color="auto"/>
          </w:tcBorders>
        </w:tcPr>
        <w:p w14:paraId="0BA78CFF" w14:textId="77777777" w:rsidR="00703DF3" w:rsidRPr="00DB2485" w:rsidRDefault="00703DF3" w:rsidP="00285C4A"/>
      </w:tc>
    </w:tr>
  </w:tbl>
  <w:p w14:paraId="5ACFFA34" w14:textId="77777777" w:rsidR="00703DF3" w:rsidRDefault="00703DF3" w:rsidP="00285C4A"/>
  <w:p w14:paraId="77BE7946" w14:textId="77777777" w:rsidR="00703DF3" w:rsidRDefault="00703DF3" w:rsidP="00285C4A">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8A875B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11E6A0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4F2042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AA84B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1E065B2"/>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2E485C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AD4108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945AD7"/>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8DA3294"/>
    <w:multiLevelType w:val="hybridMultilevel"/>
    <w:tmpl w:val="0B0ADC6E"/>
    <w:lvl w:ilvl="0" w:tplc="1CF8BA48">
      <w:start w:val="1"/>
      <w:numFmt w:val="bullet"/>
      <w:lvlText w:val="•"/>
      <w:lvlJc w:val="left"/>
      <w:pPr>
        <w:tabs>
          <w:tab w:val="num" w:pos="720"/>
        </w:tabs>
        <w:ind w:left="720" w:hanging="360"/>
      </w:pPr>
      <w:rPr>
        <w:rFonts w:ascii="Arial" w:hAnsi="Arial" w:hint="default"/>
      </w:rPr>
    </w:lvl>
    <w:lvl w:ilvl="1" w:tplc="F2CC025C" w:tentative="1">
      <w:start w:val="1"/>
      <w:numFmt w:val="bullet"/>
      <w:lvlText w:val="•"/>
      <w:lvlJc w:val="left"/>
      <w:pPr>
        <w:tabs>
          <w:tab w:val="num" w:pos="1440"/>
        </w:tabs>
        <w:ind w:left="1440" w:hanging="360"/>
      </w:pPr>
      <w:rPr>
        <w:rFonts w:ascii="Arial" w:hAnsi="Arial" w:hint="default"/>
      </w:rPr>
    </w:lvl>
    <w:lvl w:ilvl="2" w:tplc="E488EAD2" w:tentative="1">
      <w:start w:val="1"/>
      <w:numFmt w:val="bullet"/>
      <w:lvlText w:val="•"/>
      <w:lvlJc w:val="left"/>
      <w:pPr>
        <w:tabs>
          <w:tab w:val="num" w:pos="2160"/>
        </w:tabs>
        <w:ind w:left="2160" w:hanging="360"/>
      </w:pPr>
      <w:rPr>
        <w:rFonts w:ascii="Arial" w:hAnsi="Arial" w:hint="default"/>
      </w:rPr>
    </w:lvl>
    <w:lvl w:ilvl="3" w:tplc="2E8E8A00" w:tentative="1">
      <w:start w:val="1"/>
      <w:numFmt w:val="bullet"/>
      <w:lvlText w:val="•"/>
      <w:lvlJc w:val="left"/>
      <w:pPr>
        <w:tabs>
          <w:tab w:val="num" w:pos="2880"/>
        </w:tabs>
        <w:ind w:left="2880" w:hanging="360"/>
      </w:pPr>
      <w:rPr>
        <w:rFonts w:ascii="Arial" w:hAnsi="Arial" w:hint="default"/>
      </w:rPr>
    </w:lvl>
    <w:lvl w:ilvl="4" w:tplc="8410F5C2" w:tentative="1">
      <w:start w:val="1"/>
      <w:numFmt w:val="bullet"/>
      <w:lvlText w:val="•"/>
      <w:lvlJc w:val="left"/>
      <w:pPr>
        <w:tabs>
          <w:tab w:val="num" w:pos="3600"/>
        </w:tabs>
        <w:ind w:left="3600" w:hanging="360"/>
      </w:pPr>
      <w:rPr>
        <w:rFonts w:ascii="Arial" w:hAnsi="Arial" w:hint="default"/>
      </w:rPr>
    </w:lvl>
    <w:lvl w:ilvl="5" w:tplc="AB161B68" w:tentative="1">
      <w:start w:val="1"/>
      <w:numFmt w:val="bullet"/>
      <w:lvlText w:val="•"/>
      <w:lvlJc w:val="left"/>
      <w:pPr>
        <w:tabs>
          <w:tab w:val="num" w:pos="4320"/>
        </w:tabs>
        <w:ind w:left="4320" w:hanging="360"/>
      </w:pPr>
      <w:rPr>
        <w:rFonts w:ascii="Arial" w:hAnsi="Arial" w:hint="default"/>
      </w:rPr>
    </w:lvl>
    <w:lvl w:ilvl="6" w:tplc="C80C16F2" w:tentative="1">
      <w:start w:val="1"/>
      <w:numFmt w:val="bullet"/>
      <w:lvlText w:val="•"/>
      <w:lvlJc w:val="left"/>
      <w:pPr>
        <w:tabs>
          <w:tab w:val="num" w:pos="5040"/>
        </w:tabs>
        <w:ind w:left="5040" w:hanging="360"/>
      </w:pPr>
      <w:rPr>
        <w:rFonts w:ascii="Arial" w:hAnsi="Arial" w:hint="default"/>
      </w:rPr>
    </w:lvl>
    <w:lvl w:ilvl="7" w:tplc="B6CE6EBA" w:tentative="1">
      <w:start w:val="1"/>
      <w:numFmt w:val="bullet"/>
      <w:lvlText w:val="•"/>
      <w:lvlJc w:val="left"/>
      <w:pPr>
        <w:tabs>
          <w:tab w:val="num" w:pos="5760"/>
        </w:tabs>
        <w:ind w:left="5760" w:hanging="360"/>
      </w:pPr>
      <w:rPr>
        <w:rFonts w:ascii="Arial" w:hAnsi="Arial" w:hint="default"/>
      </w:rPr>
    </w:lvl>
    <w:lvl w:ilvl="8" w:tplc="4A76F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0" w15:restartNumberingAfterBreak="0">
    <w:nsid w:val="0CF70775"/>
    <w:multiLevelType w:val="hybridMultilevel"/>
    <w:tmpl w:val="865E4380"/>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6055446"/>
    <w:multiLevelType w:val="hybridMultilevel"/>
    <w:tmpl w:val="B270EB8A"/>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36E23B6C"/>
    <w:multiLevelType w:val="hybridMultilevel"/>
    <w:tmpl w:val="99C6C03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39D13B28"/>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B62716"/>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CB1EE5"/>
    <w:multiLevelType w:val="hybridMultilevel"/>
    <w:tmpl w:val="622E1552"/>
    <w:lvl w:ilvl="0" w:tplc="89A4CD3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20" w15:restartNumberingAfterBreak="0">
    <w:nsid w:val="4EEC765C"/>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22" w15:restartNumberingAfterBreak="0">
    <w:nsid w:val="6B4172F7"/>
    <w:multiLevelType w:val="hybridMultilevel"/>
    <w:tmpl w:val="6B7277B6"/>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5AE535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D64278"/>
    <w:multiLevelType w:val="hybridMultilevel"/>
    <w:tmpl w:val="BCEE686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7A5596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765559"/>
    <w:multiLevelType w:val="hybridMultilevel"/>
    <w:tmpl w:val="0FA818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71130437">
    <w:abstractNumId w:val="19"/>
  </w:num>
  <w:num w:numId="2" w16cid:durableId="1516070736">
    <w:abstractNumId w:val="9"/>
  </w:num>
  <w:num w:numId="3" w16cid:durableId="831798800">
    <w:abstractNumId w:val="14"/>
  </w:num>
  <w:num w:numId="4" w16cid:durableId="573861397">
    <w:abstractNumId w:val="21"/>
  </w:num>
  <w:num w:numId="5" w16cid:durableId="1992445834">
    <w:abstractNumId w:val="13"/>
  </w:num>
  <w:num w:numId="6" w16cid:durableId="869952534">
    <w:abstractNumId w:val="12"/>
  </w:num>
  <w:num w:numId="7" w16cid:durableId="1595671085">
    <w:abstractNumId w:val="6"/>
  </w:num>
  <w:num w:numId="8" w16cid:durableId="959797660">
    <w:abstractNumId w:val="4"/>
  </w:num>
  <w:num w:numId="9" w16cid:durableId="1988585528">
    <w:abstractNumId w:val="3"/>
  </w:num>
  <w:num w:numId="10" w16cid:durableId="1735153274">
    <w:abstractNumId w:val="2"/>
  </w:num>
  <w:num w:numId="11" w16cid:durableId="1321733302">
    <w:abstractNumId w:val="1"/>
  </w:num>
  <w:num w:numId="12" w16cid:durableId="1407454307">
    <w:abstractNumId w:val="5"/>
  </w:num>
  <w:num w:numId="13" w16cid:durableId="1987394279">
    <w:abstractNumId w:val="0"/>
  </w:num>
  <w:num w:numId="14" w16cid:durableId="1707175835">
    <w:abstractNumId w:val="23"/>
  </w:num>
  <w:num w:numId="15" w16cid:durableId="1622148909">
    <w:abstractNumId w:val="16"/>
  </w:num>
  <w:num w:numId="16" w16cid:durableId="195041666">
    <w:abstractNumId w:val="17"/>
  </w:num>
  <w:num w:numId="17" w16cid:durableId="921061341">
    <w:abstractNumId w:val="25"/>
  </w:num>
  <w:num w:numId="18" w16cid:durableId="623195798">
    <w:abstractNumId w:val="20"/>
  </w:num>
  <w:num w:numId="19" w16cid:durableId="1157068170">
    <w:abstractNumId w:val="7"/>
  </w:num>
  <w:num w:numId="20" w16cid:durableId="213585594">
    <w:abstractNumId w:val="11"/>
  </w:num>
  <w:num w:numId="21" w16cid:durableId="364715650">
    <w:abstractNumId w:val="10"/>
  </w:num>
  <w:num w:numId="22" w16cid:durableId="563806880">
    <w:abstractNumId w:val="22"/>
  </w:num>
  <w:num w:numId="23" w16cid:durableId="1782065069">
    <w:abstractNumId w:val="15"/>
  </w:num>
  <w:num w:numId="24" w16cid:durableId="1143501043">
    <w:abstractNumId w:val="18"/>
  </w:num>
  <w:num w:numId="25" w16cid:durableId="1907761745">
    <w:abstractNumId w:val="24"/>
  </w:num>
  <w:num w:numId="26" w16cid:durableId="1255094389">
    <w:abstractNumId w:val="8"/>
  </w:num>
  <w:num w:numId="27" w16cid:durableId="19836102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E4"/>
    <w:rsid w:val="00002686"/>
    <w:rsid w:val="00020721"/>
    <w:rsid w:val="00027DFE"/>
    <w:rsid w:val="00035E49"/>
    <w:rsid w:val="00040724"/>
    <w:rsid w:val="00041452"/>
    <w:rsid w:val="00045553"/>
    <w:rsid w:val="000542C3"/>
    <w:rsid w:val="000708DF"/>
    <w:rsid w:val="00080107"/>
    <w:rsid w:val="00082996"/>
    <w:rsid w:val="00083F94"/>
    <w:rsid w:val="000A7FAD"/>
    <w:rsid w:val="000C081C"/>
    <w:rsid w:val="000D6103"/>
    <w:rsid w:val="000F2157"/>
    <w:rsid w:val="00111C7F"/>
    <w:rsid w:val="00126D4C"/>
    <w:rsid w:val="00130F40"/>
    <w:rsid w:val="00137F2A"/>
    <w:rsid w:val="00140EF8"/>
    <w:rsid w:val="00146B2A"/>
    <w:rsid w:val="0016596C"/>
    <w:rsid w:val="001668FF"/>
    <w:rsid w:val="00185752"/>
    <w:rsid w:val="00192127"/>
    <w:rsid w:val="001A5F94"/>
    <w:rsid w:val="001D4894"/>
    <w:rsid w:val="001F0DC9"/>
    <w:rsid w:val="00225DBA"/>
    <w:rsid w:val="002417FB"/>
    <w:rsid w:val="00242DC0"/>
    <w:rsid w:val="0024342E"/>
    <w:rsid w:val="00244A62"/>
    <w:rsid w:val="00245748"/>
    <w:rsid w:val="00263F2A"/>
    <w:rsid w:val="00274438"/>
    <w:rsid w:val="00285C4A"/>
    <w:rsid w:val="002A5E04"/>
    <w:rsid w:val="002A7D3F"/>
    <w:rsid w:val="002B3DC5"/>
    <w:rsid w:val="002E5F54"/>
    <w:rsid w:val="002E67C1"/>
    <w:rsid w:val="002F48E5"/>
    <w:rsid w:val="00313383"/>
    <w:rsid w:val="003241A6"/>
    <w:rsid w:val="0032715B"/>
    <w:rsid w:val="00340165"/>
    <w:rsid w:val="00343E97"/>
    <w:rsid w:val="00367B10"/>
    <w:rsid w:val="003808EC"/>
    <w:rsid w:val="00386F0C"/>
    <w:rsid w:val="00394A1C"/>
    <w:rsid w:val="003A428A"/>
    <w:rsid w:val="003D37F4"/>
    <w:rsid w:val="003E24F9"/>
    <w:rsid w:val="003E6A8D"/>
    <w:rsid w:val="003F391A"/>
    <w:rsid w:val="00415C8B"/>
    <w:rsid w:val="0041632D"/>
    <w:rsid w:val="0042165D"/>
    <w:rsid w:val="00450176"/>
    <w:rsid w:val="004877E4"/>
    <w:rsid w:val="00496AFA"/>
    <w:rsid w:val="004A282D"/>
    <w:rsid w:val="004A72D0"/>
    <w:rsid w:val="004A7F26"/>
    <w:rsid w:val="004C25B9"/>
    <w:rsid w:val="004C7C57"/>
    <w:rsid w:val="004D45E1"/>
    <w:rsid w:val="005066BD"/>
    <w:rsid w:val="005134A9"/>
    <w:rsid w:val="0052798B"/>
    <w:rsid w:val="005459A5"/>
    <w:rsid w:val="005526BB"/>
    <w:rsid w:val="00617B8D"/>
    <w:rsid w:val="00621573"/>
    <w:rsid w:val="0062431D"/>
    <w:rsid w:val="00650C27"/>
    <w:rsid w:val="006515A8"/>
    <w:rsid w:val="00652C2C"/>
    <w:rsid w:val="00672DD6"/>
    <w:rsid w:val="00697F6B"/>
    <w:rsid w:val="006D4E66"/>
    <w:rsid w:val="006E3BE2"/>
    <w:rsid w:val="006F1FF3"/>
    <w:rsid w:val="00702AE0"/>
    <w:rsid w:val="00703337"/>
    <w:rsid w:val="00703DF3"/>
    <w:rsid w:val="00710F5C"/>
    <w:rsid w:val="00740B06"/>
    <w:rsid w:val="00755F0A"/>
    <w:rsid w:val="007579A8"/>
    <w:rsid w:val="00763299"/>
    <w:rsid w:val="00767F80"/>
    <w:rsid w:val="0077386C"/>
    <w:rsid w:val="007C2DE6"/>
    <w:rsid w:val="007D053C"/>
    <w:rsid w:val="007D631B"/>
    <w:rsid w:val="007F2D7B"/>
    <w:rsid w:val="007F4051"/>
    <w:rsid w:val="0081117E"/>
    <w:rsid w:val="008126E8"/>
    <w:rsid w:val="0081614B"/>
    <w:rsid w:val="008265B0"/>
    <w:rsid w:val="00840FDC"/>
    <w:rsid w:val="008423BA"/>
    <w:rsid w:val="008516B7"/>
    <w:rsid w:val="0085267D"/>
    <w:rsid w:val="008527A8"/>
    <w:rsid w:val="0085631B"/>
    <w:rsid w:val="00857C4B"/>
    <w:rsid w:val="008923DE"/>
    <w:rsid w:val="0089370C"/>
    <w:rsid w:val="00893C09"/>
    <w:rsid w:val="008956C8"/>
    <w:rsid w:val="00896566"/>
    <w:rsid w:val="008B0879"/>
    <w:rsid w:val="008C15DC"/>
    <w:rsid w:val="008E62D6"/>
    <w:rsid w:val="008F3A17"/>
    <w:rsid w:val="00901A1B"/>
    <w:rsid w:val="0090612A"/>
    <w:rsid w:val="0091295C"/>
    <w:rsid w:val="00915609"/>
    <w:rsid w:val="00926F5D"/>
    <w:rsid w:val="00953C99"/>
    <w:rsid w:val="00973C5E"/>
    <w:rsid w:val="009840D5"/>
    <w:rsid w:val="00985ED4"/>
    <w:rsid w:val="009B34F1"/>
    <w:rsid w:val="009C175C"/>
    <w:rsid w:val="009C3F75"/>
    <w:rsid w:val="00A4383B"/>
    <w:rsid w:val="00A54C8A"/>
    <w:rsid w:val="00A639CF"/>
    <w:rsid w:val="00A70AE1"/>
    <w:rsid w:val="00A92823"/>
    <w:rsid w:val="00AA1B58"/>
    <w:rsid w:val="00AE1384"/>
    <w:rsid w:val="00AF01F5"/>
    <w:rsid w:val="00B04443"/>
    <w:rsid w:val="00B1139E"/>
    <w:rsid w:val="00B12E83"/>
    <w:rsid w:val="00B33A13"/>
    <w:rsid w:val="00B359E5"/>
    <w:rsid w:val="00B40D0E"/>
    <w:rsid w:val="00B4254A"/>
    <w:rsid w:val="00B47254"/>
    <w:rsid w:val="00B6148C"/>
    <w:rsid w:val="00BA3C0A"/>
    <w:rsid w:val="00BA485F"/>
    <w:rsid w:val="00BD3217"/>
    <w:rsid w:val="00BE1F54"/>
    <w:rsid w:val="00BE302C"/>
    <w:rsid w:val="00C004A7"/>
    <w:rsid w:val="00C0067E"/>
    <w:rsid w:val="00C033AF"/>
    <w:rsid w:val="00C0715E"/>
    <w:rsid w:val="00C641B4"/>
    <w:rsid w:val="00C75440"/>
    <w:rsid w:val="00C80C81"/>
    <w:rsid w:val="00C9358C"/>
    <w:rsid w:val="00C97D56"/>
    <w:rsid w:val="00CB0FFA"/>
    <w:rsid w:val="00CD09F4"/>
    <w:rsid w:val="00CD4D55"/>
    <w:rsid w:val="00CE02A5"/>
    <w:rsid w:val="00CE6831"/>
    <w:rsid w:val="00D14220"/>
    <w:rsid w:val="00D22A93"/>
    <w:rsid w:val="00D27BFF"/>
    <w:rsid w:val="00D32FC1"/>
    <w:rsid w:val="00D3326C"/>
    <w:rsid w:val="00D4411E"/>
    <w:rsid w:val="00D54610"/>
    <w:rsid w:val="00D5516D"/>
    <w:rsid w:val="00D70C5F"/>
    <w:rsid w:val="00D8050E"/>
    <w:rsid w:val="00D82739"/>
    <w:rsid w:val="00DB25FB"/>
    <w:rsid w:val="00DD516E"/>
    <w:rsid w:val="00DE38C0"/>
    <w:rsid w:val="00DF29AA"/>
    <w:rsid w:val="00E067F2"/>
    <w:rsid w:val="00E2407B"/>
    <w:rsid w:val="00E250A1"/>
    <w:rsid w:val="00E44048"/>
    <w:rsid w:val="00E547C4"/>
    <w:rsid w:val="00E5750C"/>
    <w:rsid w:val="00E6398E"/>
    <w:rsid w:val="00E741D5"/>
    <w:rsid w:val="00E81248"/>
    <w:rsid w:val="00E958A4"/>
    <w:rsid w:val="00EB167A"/>
    <w:rsid w:val="00EB310C"/>
    <w:rsid w:val="00F07ECE"/>
    <w:rsid w:val="00F14796"/>
    <w:rsid w:val="00F273FA"/>
    <w:rsid w:val="00F338EE"/>
    <w:rsid w:val="00F45775"/>
    <w:rsid w:val="00F521AF"/>
    <w:rsid w:val="00F61F5E"/>
    <w:rsid w:val="00F62EB8"/>
    <w:rsid w:val="00F771EE"/>
    <w:rsid w:val="00F77AF5"/>
    <w:rsid w:val="00F77EB9"/>
    <w:rsid w:val="00F86D88"/>
    <w:rsid w:val="00F900A3"/>
    <w:rsid w:val="00F97983"/>
    <w:rsid w:val="00FA4180"/>
    <w:rsid w:val="00FA4AF2"/>
    <w:rsid w:val="00FC3B4C"/>
    <w:rsid w:val="00FE0096"/>
    <w:rsid w:val="00FF2FDE"/>
    <w:rsid w:val="00FF4C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89722"/>
  <w15:chartTrackingRefBased/>
  <w15:docId w15:val="{44FD930A-54AD-4177-89B9-71D69059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285C4A"/>
    <w:rPr>
      <w:rFonts w:ascii="Calibri" w:hAnsi="Calibri"/>
      <w:sz w:val="24"/>
      <w:szCs w:val="24"/>
    </w:rPr>
  </w:style>
  <w:style w:type="paragraph" w:styleId="Otsikko1">
    <w:name w:val="heading 1"/>
    <w:basedOn w:val="Normaali"/>
    <w:next w:val="Normaali"/>
    <w:qFormat/>
    <w:pPr>
      <w:keepNext/>
      <w:spacing w:before="240" w:after="60"/>
      <w:outlineLvl w:val="0"/>
    </w:pPr>
    <w:rPr>
      <w:b/>
      <w:bCs/>
      <w:kern w:val="32"/>
      <w:sz w:val="32"/>
      <w:szCs w:val="3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2F48E5"/>
    <w:pPr>
      <w:tabs>
        <w:tab w:val="left" w:pos="0"/>
        <w:tab w:val="left" w:pos="1298"/>
        <w:tab w:val="left" w:pos="2591"/>
        <w:tab w:val="left" w:pos="3890"/>
        <w:tab w:val="left" w:pos="5182"/>
        <w:tab w:val="left" w:pos="6481"/>
        <w:tab w:val="left" w:pos="7779"/>
        <w:tab w:val="left" w:pos="8931"/>
        <w:tab w:val="right" w:pos="9639"/>
      </w:tabs>
    </w:pPr>
  </w:style>
  <w:style w:type="paragraph" w:styleId="Alatunniste">
    <w:name w:val="footer"/>
    <w:basedOn w:val="Normaali"/>
    <w:semiHidden/>
    <w:rsid w:val="00DF29AA"/>
    <w:pPr>
      <w:tabs>
        <w:tab w:val="center" w:pos="4819"/>
        <w:tab w:val="right" w:pos="9638"/>
      </w:tabs>
    </w:pPr>
    <w:rPr>
      <w:rFonts w:ascii="Arial" w:hAnsi="Arial" w:cs="Arial"/>
    </w:rPr>
  </w:style>
  <w:style w:type="character" w:styleId="Sivunumero">
    <w:name w:val="page number"/>
    <w:basedOn w:val="Kappaleenoletusfontti"/>
  </w:style>
  <w:style w:type="character" w:customStyle="1" w:styleId="YltunnisteChar">
    <w:name w:val="Ylätunniste Char"/>
    <w:link w:val="Yltunniste"/>
    <w:semiHidden/>
    <w:rsid w:val="00915609"/>
    <w:rPr>
      <w:rFonts w:ascii="Tahoma" w:hAnsi="Tahoma"/>
      <w:sz w:val="24"/>
    </w:rPr>
  </w:style>
  <w:style w:type="paragraph" w:customStyle="1" w:styleId="Asialuettelo">
    <w:name w:val="Asialuettelo"/>
    <w:semiHidden/>
    <w:rsid w:val="00450176"/>
    <w:pPr>
      <w:spacing w:after="240"/>
      <w:ind w:left="2596"/>
    </w:pPr>
    <w:rPr>
      <w:rFonts w:ascii="Tahoma" w:hAnsi="Tahoma"/>
      <w:sz w:val="24"/>
    </w:rPr>
  </w:style>
  <w:style w:type="paragraph" w:customStyle="1" w:styleId="Asiaotsikko">
    <w:name w:val="Asiaotsikko"/>
    <w:basedOn w:val="Normaali"/>
    <w:next w:val="Asiateksti"/>
    <w:semiHidden/>
    <w:unhideWhenUsed/>
    <w:rsid w:val="002F48E5"/>
    <w:pPr>
      <w:tabs>
        <w:tab w:val="left" w:pos="0"/>
        <w:tab w:val="left" w:pos="1298"/>
        <w:tab w:val="left" w:pos="2591"/>
        <w:tab w:val="left" w:pos="3890"/>
        <w:tab w:val="left" w:pos="5182"/>
        <w:tab w:val="left" w:pos="6481"/>
        <w:tab w:val="left" w:pos="7779"/>
        <w:tab w:val="left" w:pos="8930"/>
      </w:tabs>
      <w:ind w:left="1298" w:hanging="1298"/>
    </w:pPr>
    <w:rPr>
      <w:caps/>
    </w:rPr>
  </w:style>
  <w:style w:type="paragraph" w:customStyle="1" w:styleId="Asiateksti">
    <w:name w:val="Asiateksti"/>
    <w:basedOn w:val="Normaali"/>
    <w:semiHidden/>
    <w:rsid w:val="002F48E5"/>
    <w:pPr>
      <w:tabs>
        <w:tab w:val="left" w:pos="0"/>
        <w:tab w:val="left" w:pos="1298"/>
        <w:tab w:val="left" w:pos="2591"/>
        <w:tab w:val="left" w:pos="3890"/>
        <w:tab w:val="left" w:pos="5182"/>
        <w:tab w:val="left" w:pos="6481"/>
        <w:tab w:val="left" w:pos="7779"/>
        <w:tab w:val="left" w:pos="8931"/>
      </w:tabs>
      <w:ind w:left="1298" w:hanging="1298"/>
      <w:jc w:val="both"/>
    </w:pPr>
  </w:style>
  <w:style w:type="paragraph" w:styleId="Sisluet1">
    <w:name w:val="toc 1"/>
    <w:basedOn w:val="Normaali"/>
    <w:semiHidden/>
    <w:rsid w:val="002F48E5"/>
    <w:pPr>
      <w:tabs>
        <w:tab w:val="left" w:pos="0"/>
        <w:tab w:val="left" w:pos="1298"/>
        <w:tab w:val="right" w:pos="9639"/>
      </w:tabs>
      <w:spacing w:before="240"/>
      <w:ind w:left="1298" w:right="851" w:hanging="1298"/>
    </w:pPr>
    <w:rPr>
      <w:caps/>
    </w:rPr>
  </w:style>
  <w:style w:type="paragraph" w:customStyle="1" w:styleId="TwebTeksti">
    <w:name w:val="TwebTeksti"/>
    <w:rsid w:val="00893C09"/>
    <w:pPr>
      <w:spacing w:line="264" w:lineRule="auto"/>
    </w:pPr>
    <w:rPr>
      <w:rFonts w:ascii="Tahoma" w:hAnsi="Tahoma"/>
    </w:rPr>
  </w:style>
  <w:style w:type="paragraph" w:customStyle="1" w:styleId="TwebAsiateksti1">
    <w:name w:val="TwebAsiateksti1"/>
    <w:basedOn w:val="TwebTeksti"/>
    <w:rsid w:val="002F48E5"/>
    <w:pPr>
      <w:spacing w:line="240" w:lineRule="auto"/>
      <w:ind w:left="1298" w:hanging="1298"/>
    </w:pPr>
    <w:rPr>
      <w:lang w:eastAsia="en-US"/>
    </w:rPr>
  </w:style>
  <w:style w:type="paragraph" w:customStyle="1" w:styleId="TwebAsiateksti2">
    <w:name w:val="TwebAsiateksti2"/>
    <w:basedOn w:val="TwebTeksti"/>
    <w:pPr>
      <w:ind w:left="2608" w:hanging="2608"/>
    </w:pPr>
    <w:rPr>
      <w:lang w:eastAsia="en-US"/>
    </w:rPr>
  </w:style>
  <w:style w:type="paragraph" w:customStyle="1" w:styleId="TwebOtsikko">
    <w:name w:val="TwebOtsikko"/>
    <w:basedOn w:val="TwebTeksti"/>
    <w:next w:val="TwebAsiateksti1"/>
    <w:rsid w:val="005134A9"/>
    <w:pPr>
      <w:tabs>
        <w:tab w:val="left" w:pos="1298"/>
      </w:tabs>
      <w:ind w:left="1298" w:hanging="1298"/>
    </w:pPr>
    <w:rPr>
      <w:b/>
      <w:lang w:eastAsia="en-US"/>
    </w:rPr>
  </w:style>
  <w:style w:type="paragraph" w:customStyle="1" w:styleId="TwebYltunniste">
    <w:name w:val="TwebYlätunniste"/>
    <w:basedOn w:val="TwebTeksti"/>
    <w:rPr>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Normaali"/>
    <w:semiHidden/>
    <w:rsid w:val="002F48E5"/>
    <w:pPr>
      <w:tabs>
        <w:tab w:val="left" w:pos="0"/>
        <w:tab w:val="left" w:pos="1298"/>
        <w:tab w:val="left" w:pos="2591"/>
        <w:tab w:val="left" w:pos="3890"/>
        <w:tab w:val="left" w:pos="5182"/>
        <w:tab w:val="left" w:pos="6481"/>
        <w:tab w:val="left" w:pos="7779"/>
        <w:tab w:val="left" w:pos="8931"/>
      </w:tabs>
    </w:pPr>
  </w:style>
  <w:style w:type="paragraph" w:customStyle="1" w:styleId="TwebAlatunniste">
    <w:name w:val="TwebAlatunniste"/>
    <w:basedOn w:val="TwebTeksti"/>
    <w:qFormat/>
    <w:rsid w:val="00893C09"/>
    <w:rPr>
      <w:sz w:val="16"/>
    </w:rPr>
  </w:style>
  <w:style w:type="paragraph" w:customStyle="1" w:styleId="TyyliTwebAsiateksti1Lihavoitu">
    <w:name w:val="Tyyli TwebAsiateksti1 + Lihavoitu"/>
    <w:basedOn w:val="TwebAsiateksti1"/>
    <w:next w:val="TwebAsiateksti1"/>
    <w:rsid w:val="00041452"/>
    <w:rPr>
      <w:b/>
      <w:bCs/>
    </w:rPr>
  </w:style>
  <w:style w:type="paragraph" w:styleId="Luettelokappale">
    <w:name w:val="List Paragraph"/>
    <w:basedOn w:val="Normaali"/>
    <w:uiPriority w:val="34"/>
    <w:qFormat/>
    <w:rsid w:val="00E44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5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Vantaa\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5305A0-0DD4-457C-92B2-D19F40E37661}">
  <we:reference id="fc5cb29b-f8c0-40fb-940f-2956aed2b0b6"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18C12-2A14-43DE-9DE9-BD6546B6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Template>
  <TotalTime>967</TotalTime>
  <Pages>3</Pages>
  <Words>866</Words>
  <Characters>7111</Characters>
  <Application>Microsoft Office Word</Application>
  <DocSecurity>0</DocSecurity>
  <Lines>148</Lines>
  <Paragraphs>61</Paragraphs>
  <ScaleCrop>false</ScaleCrop>
  <HeadingPairs>
    <vt:vector size="2" baseType="variant">
      <vt:variant>
        <vt:lpstr>Otsikko</vt:lpstr>
      </vt:variant>
      <vt:variant>
        <vt:i4>1</vt:i4>
      </vt:variant>
    </vt:vector>
  </HeadingPairs>
  <TitlesOfParts>
    <vt:vector size="1" baseType="lpstr">
      <vt:lpstr>Tweb</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Tweb</dc:title>
  <dc:subject>tweb.dot</dc:subject>
  <dc:creator>Sami</dc:creator>
  <cp:keywords>Vantaa</cp:keywords>
  <cp:lastModifiedBy>Anttila Anu</cp:lastModifiedBy>
  <cp:revision>29</cp:revision>
  <dcterms:created xsi:type="dcterms:W3CDTF">2022-05-02T10:18:00Z</dcterms:created>
  <dcterms:modified xsi:type="dcterms:W3CDTF">2026-05-28T13:33:00Z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subjectlist">
    <vt:lpwstr>Asiasanat</vt:lpwstr>
  </property>
  <property fmtid="{D5CDD505-2E9C-101B-9397-08002B2CF9AE}" pid="7" name="tweb_doc_pages">
    <vt:lpwstr>Sivumäärä</vt:lpwstr>
  </property>
  <property fmtid="{D5CDD505-2E9C-101B-9397-08002B2CF9AE}" pid="8" name="tweb_doc_agent_type">
    <vt:lpwstr>Osapuoli, rooli</vt:lpwstr>
  </property>
  <property fmtid="{D5CDD505-2E9C-101B-9397-08002B2CF9AE}" pid="9" name="tweb_doc_agent_personalname">
    <vt:lpwstr>Osapuoli, henkilö</vt:lpwstr>
  </property>
  <property fmtid="{D5CDD505-2E9C-101B-9397-08002B2CF9AE}" pid="10" name="tweb_doc_agent_corporatename">
    <vt:lpwstr>Osapuoli, yhteisö</vt:lpwstr>
  </property>
  <property fmtid="{D5CDD505-2E9C-101B-9397-08002B2CF9AE}" pid="11" name="tweb_doc_agent_ssn">
    <vt:lpwstr>Osapuoli, hetu</vt:lpwstr>
  </property>
  <property fmtid="{D5CDD505-2E9C-101B-9397-08002B2CF9AE}" pid="12" name="tweb_doc_agent_street">
    <vt:lpwstr>Osapuoli, lähiosoite</vt:lpwstr>
  </property>
  <property fmtid="{D5CDD505-2E9C-101B-9397-08002B2CF9AE}" pid="13" name="tweb_doc_agent_postcode">
    <vt:lpwstr>Osapuoli, postinumero</vt:lpwstr>
  </property>
  <property fmtid="{D5CDD505-2E9C-101B-9397-08002B2CF9AE}" pid="14" name="tweb_doc_agent_city">
    <vt:lpwstr>Osapuoli, postitoimipaikka</vt:lpwstr>
  </property>
  <property fmtid="{D5CDD505-2E9C-101B-9397-08002B2CF9AE}" pid="15" name="tweb_doc_agent_telephone">
    <vt:lpwstr>Osapuoli, puhelin</vt:lpwstr>
  </property>
  <property fmtid="{D5CDD505-2E9C-101B-9397-08002B2CF9AE}" pid="16" name="tweb_doc_agent_telefax">
    <vt:lpwstr>Osapuoli, fax</vt:lpwstr>
  </property>
  <property fmtid="{D5CDD505-2E9C-101B-9397-08002B2CF9AE}" pid="17" name="tweb_doc_agent_email">
    <vt:lpwstr>Osapuoli, sähköposti</vt:lpwstr>
  </property>
  <property fmtid="{D5CDD505-2E9C-101B-9397-08002B2CF9AE}" pid="18" name="tweb_doc_agent_www">
    <vt:lpwstr>Osapuoli, www</vt:lpwstr>
  </property>
  <property fmtid="{D5CDD505-2E9C-101B-9397-08002B2CF9AE}" pid="19" name="tweb_doc_meta_2600">
    <vt:lpwstr>Dyn. Perustelut</vt:lpwstr>
  </property>
  <property fmtid="{D5CDD505-2E9C-101B-9397-08002B2CF9AE}" pid="20" name="tweb_doc_meta_2601">
    <vt:lpwstr>Dyn. Kustannukset</vt:lpwstr>
  </property>
  <property fmtid="{D5CDD505-2E9C-101B-9397-08002B2CF9AE}" pid="21" name="tweb_doc_meta_2602">
    <vt:lpwstr>Dyn. Päätös</vt:lpwstr>
  </property>
  <property fmtid="{D5CDD505-2E9C-101B-9397-08002B2CF9AE}" pid="22" name="tweb_doc_meta_2603">
    <vt:lpwstr>Dyn. Lisätietoja</vt:lpwstr>
  </property>
  <property fmtid="{D5CDD505-2E9C-101B-9397-08002B2CF9AE}" pid="23" name="tweb_doc_meta_2604">
    <vt:lpwstr>Dyn. Tiedoksi</vt:lpwstr>
  </property>
  <property fmtid="{D5CDD505-2E9C-101B-9397-08002B2CF9AE}" pid="24" name="TwebKey">
    <vt:lpwstr>216d16beaa13b24fdd98f3451edf6e46#asta.vantaa.fi!/TWeb/toaxfront!443!-1</vt:lpwstr>
  </property>
  <property fmtid="{D5CDD505-2E9C-101B-9397-08002B2CF9AE}" pid="25" name="tweb_doc_id">
    <vt:lpwstr>3387339</vt:lpwstr>
  </property>
  <property fmtid="{D5CDD505-2E9C-101B-9397-08002B2CF9AE}" pid="26" name="tweb_doc_version">
    <vt:lpwstr>5</vt:lpwstr>
  </property>
  <property fmtid="{D5CDD505-2E9C-101B-9397-08002B2CF9AE}" pid="27" name="tweb_doc_title">
    <vt:lpwstr>Vantaan palveluiden ja investointien suunnitelma 2026-2035</vt:lpwstr>
  </property>
  <property fmtid="{D5CDD505-2E9C-101B-9397-08002B2CF9AE}" pid="28" name="tweb_doc_typecode">
    <vt:lpwstr>00.01.02.00.02</vt:lpwstr>
  </property>
  <property fmtid="{D5CDD505-2E9C-101B-9397-08002B2CF9AE}" pid="29" name="tweb_doc_typename">
    <vt:lpwstr>Päätösesitys</vt:lpwstr>
  </property>
  <property fmtid="{D5CDD505-2E9C-101B-9397-08002B2CF9AE}" pid="30" name="tweb_doc_description">
    <vt:lpwstr/>
  </property>
  <property fmtid="{D5CDD505-2E9C-101B-9397-08002B2CF9AE}" pid="31" name="tweb_doc_status">
    <vt:lpwstr>Luonnos</vt:lpwstr>
  </property>
  <property fmtid="{D5CDD505-2E9C-101B-9397-08002B2CF9AE}" pid="32" name="tweb_doc_identifier">
    <vt:lpwstr>VD/2836/00.01.02.00/2026</vt:lpwstr>
  </property>
  <property fmtid="{D5CDD505-2E9C-101B-9397-08002B2CF9AE}" pid="33" name="tweb_doc_publicityclass">
    <vt:lpwstr/>
  </property>
  <property fmtid="{D5CDD505-2E9C-101B-9397-08002B2CF9AE}" pid="34" name="tweb_doc_securityclass">
    <vt:lpwstr> </vt:lpwstr>
  </property>
  <property fmtid="{D5CDD505-2E9C-101B-9397-08002B2CF9AE}" pid="35" name="tweb_doc_securityreason">
    <vt:lpwstr/>
  </property>
  <property fmtid="{D5CDD505-2E9C-101B-9397-08002B2CF9AE}" pid="36" name="tweb_doc_securityperiod">
    <vt:lpwstr>0</vt:lpwstr>
  </property>
  <property fmtid="{D5CDD505-2E9C-101B-9397-08002B2CF9AE}" pid="37" name="tweb_doc_securityperiodstart">
    <vt:lpwstr/>
  </property>
  <property fmtid="{D5CDD505-2E9C-101B-9397-08002B2CF9AE}" pid="38" name="tweb_doc_securityperiodend">
    <vt:lpwstr/>
  </property>
  <property fmtid="{D5CDD505-2E9C-101B-9397-08002B2CF9AE}" pid="39" name="tweb_doc_owner">
    <vt:lpwstr>Järvi Noora</vt:lpwstr>
  </property>
  <property fmtid="{D5CDD505-2E9C-101B-9397-08002B2CF9AE}" pid="40" name="tweb_doc_creator">
    <vt:lpwstr>Järvi Noora</vt:lpwstr>
  </property>
  <property fmtid="{D5CDD505-2E9C-101B-9397-08002B2CF9AE}" pid="41" name="tweb_doc_publisher">
    <vt:lpwstr>Konsernijohto ja elinvoima/Talousohjaus/Palveluyksikköjohto</vt:lpwstr>
  </property>
  <property fmtid="{D5CDD505-2E9C-101B-9397-08002B2CF9AE}" pid="42" name="tweb_doc_contributor">
    <vt:lpwstr/>
  </property>
  <property fmtid="{D5CDD505-2E9C-101B-9397-08002B2CF9AE}" pid="43" name="tweb_doc_fileextension">
    <vt:lpwstr>DOCX</vt:lpwstr>
  </property>
  <property fmtid="{D5CDD505-2E9C-101B-9397-08002B2CF9AE}" pid="44" name="tweb_doc_language">
    <vt:lpwstr>suomi</vt:lpwstr>
  </property>
  <property fmtid="{D5CDD505-2E9C-101B-9397-08002B2CF9AE}" pid="45" name="tweb_doc_created">
    <vt:lpwstr>19.05.2026</vt:lpwstr>
  </property>
  <property fmtid="{D5CDD505-2E9C-101B-9397-08002B2CF9AE}" pid="46" name="tweb_doc_modified">
    <vt:lpwstr>19.05.2026</vt:lpwstr>
  </property>
  <property fmtid="{D5CDD505-2E9C-101B-9397-08002B2CF9AE}" pid="47" name="tweb_doc_available">
    <vt:lpwstr/>
  </property>
  <property fmtid="{D5CDD505-2E9C-101B-9397-08002B2CF9AE}" pid="48" name="tweb_doc_acquired">
    <vt:lpwstr/>
  </property>
  <property fmtid="{D5CDD505-2E9C-101B-9397-08002B2CF9AE}" pid="49" name="tweb_doc_issued">
    <vt:lpwstr/>
  </property>
  <property fmtid="{D5CDD505-2E9C-101B-9397-08002B2CF9AE}" pid="50" name="tweb_doc_accepted">
    <vt:lpwstr/>
  </property>
  <property fmtid="{D5CDD505-2E9C-101B-9397-08002B2CF9AE}" pid="51" name="tweb_doc_validfrom">
    <vt:lpwstr/>
  </property>
  <property fmtid="{D5CDD505-2E9C-101B-9397-08002B2CF9AE}" pid="52" name="tweb_doc_validto">
    <vt:lpwstr/>
  </property>
  <property fmtid="{D5CDD505-2E9C-101B-9397-08002B2CF9AE}" pid="53" name="tweb_doc_protectionclass">
    <vt:lpwstr>Ei suojeluluokiteltu</vt:lpwstr>
  </property>
  <property fmtid="{D5CDD505-2E9C-101B-9397-08002B2CF9AE}" pid="54" name="tweb_doc_retentionperiodstart">
    <vt:lpwstr/>
  </property>
  <property fmtid="{D5CDD505-2E9C-101B-9397-08002B2CF9AE}" pid="55" name="tweb_doc_retentionperiodend">
    <vt:lpwstr/>
  </property>
  <property fmtid="{D5CDD505-2E9C-101B-9397-08002B2CF9AE}" pid="56" name="tweb_doc_storagelocation">
    <vt:lpwstr/>
  </property>
  <property fmtid="{D5CDD505-2E9C-101B-9397-08002B2CF9AE}" pid="57" name="tweb_doc_publicationid">
    <vt:lpwstr/>
  </property>
  <property fmtid="{D5CDD505-2E9C-101B-9397-08002B2CF9AE}" pid="58" name="tweb_doc_copyright">
    <vt:lpwstr/>
  </property>
  <property fmtid="{D5CDD505-2E9C-101B-9397-08002B2CF9AE}" pid="59" name="tweb_doc_decisionnumber">
    <vt:lpwstr/>
  </property>
  <property fmtid="{D5CDD505-2E9C-101B-9397-08002B2CF9AE}" pid="60" name="tweb_doc_decisionyear">
    <vt:lpwstr>0</vt:lpwstr>
  </property>
  <property fmtid="{D5CDD505-2E9C-101B-9397-08002B2CF9AE}" pid="61" name="tweb_doc_xsubjectlist">
    <vt:lpwstr/>
  </property>
  <property fmtid="{D5CDD505-2E9C-101B-9397-08002B2CF9AE}" pid="62" name="tweb_doc_presenter">
    <vt:lpwstr/>
  </property>
  <property fmtid="{D5CDD505-2E9C-101B-9397-08002B2CF9AE}" pid="63" name="tweb_doc_solver">
    <vt:lpwstr/>
  </property>
  <property fmtid="{D5CDD505-2E9C-101B-9397-08002B2CF9AE}" pid="64" name="tweb_doc_otherid">
    <vt:lpwstr/>
  </property>
  <property fmtid="{D5CDD505-2E9C-101B-9397-08002B2CF9AE}" pid="65" name="tweb_doc_deadline">
    <vt:lpwstr/>
  </property>
  <property fmtid="{D5CDD505-2E9C-101B-9397-08002B2CF9AE}" pid="66" name="tweb_doc_mamiversion">
    <vt:lpwstr>0.4</vt:lpwstr>
  </property>
  <property fmtid="{D5CDD505-2E9C-101B-9397-08002B2CF9AE}" pid="67" name="tweb_doc_alternativetitle">
    <vt:lpwstr/>
  </property>
  <property fmtid="{D5CDD505-2E9C-101B-9397-08002B2CF9AE}" pid="68" name="tweb_doc_notificationperiodstart">
    <vt:lpwstr/>
  </property>
  <property fmtid="{D5CDD505-2E9C-101B-9397-08002B2CF9AE}" pid="69" name="tweb_doc_notificationperiodend">
    <vt:lpwstr/>
  </property>
  <property fmtid="{D5CDD505-2E9C-101B-9397-08002B2CF9AE}" pid="70" name="tweb_doc_xfilekey">
    <vt:lpwstr>6e1434d9de6afe3cafa53f7e99c66a0</vt:lpwstr>
  </property>
  <property fmtid="{D5CDD505-2E9C-101B-9397-08002B2CF9AE}" pid="71" name="tweb_doc_att_1">
    <vt:lpwstr>Palveluverkon linjaukset</vt:lpwstr>
  </property>
  <property fmtid="{D5CDD505-2E9C-101B-9397-08002B2CF9AE}" pid="72" name="tweb_doc_atts">
    <vt:lpwstr>Palveluverkon linjaukset_x000d_</vt:lpwstr>
  </property>
  <property fmtid="{D5CDD505-2E9C-101B-9397-08002B2CF9AE}" pid="73" name="tweb_doc_eoperators">
    <vt:lpwstr/>
  </property>
  <property fmtid="{D5CDD505-2E9C-101B-9397-08002B2CF9AE}" pid="74" name="tweb_item_title">
    <vt:lpwstr>Vantaan palveluiden ja investointien suunnitelma / NJ</vt:lpwstr>
  </property>
  <property fmtid="{D5CDD505-2E9C-101B-9397-08002B2CF9AE}" pid="75" name="tweb_user_name">
    <vt:lpwstr>Anttila Anu</vt:lpwstr>
  </property>
  <property fmtid="{D5CDD505-2E9C-101B-9397-08002B2CF9AE}" pid="76" name="tweb_user_surname">
    <vt:lpwstr>Anttila</vt:lpwstr>
  </property>
  <property fmtid="{D5CDD505-2E9C-101B-9397-08002B2CF9AE}" pid="77" name="tweb_user_givenname">
    <vt:lpwstr>Anu</vt:lpwstr>
  </property>
  <property fmtid="{D5CDD505-2E9C-101B-9397-08002B2CF9AE}" pid="78" name="tweb_user_title">
    <vt:lpwstr>Suunnittelija</vt:lpwstr>
  </property>
  <property fmtid="{D5CDD505-2E9C-101B-9397-08002B2CF9AE}" pid="79" name="tweb_user_telephonenumber">
    <vt:lpwstr/>
  </property>
  <property fmtid="{D5CDD505-2E9C-101B-9397-08002B2CF9AE}" pid="80" name="tweb_user_facsimiletelephonenumber">
    <vt:lpwstr>00020129</vt:lpwstr>
  </property>
  <property fmtid="{D5CDD505-2E9C-101B-9397-08002B2CF9AE}" pid="81" name="tweb_user_rfc822mailbox">
    <vt:lpwstr>Anu.Anttila@vantaa.fi</vt:lpwstr>
  </property>
  <property fmtid="{D5CDD505-2E9C-101B-9397-08002B2CF9AE}" pid="82" name="tweb_user_roomnumber">
    <vt:lpwstr/>
  </property>
  <property fmtid="{D5CDD505-2E9C-101B-9397-08002B2CF9AE}" pid="83" name="tweb_user_organization">
    <vt:lpwstr>Kaupunkikulttuuri ja hyvinvointi</vt:lpwstr>
  </property>
  <property fmtid="{D5CDD505-2E9C-101B-9397-08002B2CF9AE}" pid="84" name="tweb_user_department">
    <vt:lpwstr>Yhteiset palvelut</vt:lpwstr>
  </property>
  <property fmtid="{D5CDD505-2E9C-101B-9397-08002B2CF9AE}" pid="85" name="tweb_user_group">
    <vt:lpwstr>Yhteiset palvelut, osallisuustoiminta</vt:lpwstr>
  </property>
  <property fmtid="{D5CDD505-2E9C-101B-9397-08002B2CF9AE}" pid="86" name="tweb_user_postaladdress">
    <vt:lpwstr/>
  </property>
  <property fmtid="{D5CDD505-2E9C-101B-9397-08002B2CF9AE}" pid="87" name="tweb_user_postalcode">
    <vt:lpwstr/>
  </property>
  <property fmtid="{D5CDD505-2E9C-101B-9397-08002B2CF9AE}" pid="88" name="editKey">
    <vt:lpwstr>6e1434d9de6afe3cafa53f7e99c66a0</vt:lpwstr>
  </property>
</Properties>
</file>